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textAlignment w:val="baseline"/>
        <w:rPr>
          <w:rFonts w:ascii="宋体" w:hAnsi="宋体"/>
          <w:sz w:val="24"/>
        </w:rPr>
      </w:pPr>
    </w:p>
    <w:p>
      <w:pPr>
        <w:adjustRightInd w:val="0"/>
        <w:spacing w:line="360" w:lineRule="auto"/>
        <w:jc w:val="center"/>
        <w:textAlignment w:val="baseline"/>
        <w:outlineLvl w:val="9"/>
        <w:rPr>
          <w:rFonts w:ascii="宋体" w:hAnsi="宋体"/>
          <w:sz w:val="24"/>
        </w:rPr>
      </w:pPr>
      <w:r>
        <w:rPr>
          <w:rFonts w:ascii="宋体" w:hAnsi="宋体"/>
          <w:sz w:val="24"/>
        </w:rPr>
        <w:br w:type="textWrapping"/>
      </w:r>
    </w:p>
    <w:p>
      <w:pPr>
        <w:pStyle w:val="29"/>
        <w:spacing w:before="0" w:after="0" w:line="360" w:lineRule="auto"/>
        <w:outlineLvl w:val="9"/>
        <w:rPr>
          <w:rFonts w:ascii="宋体" w:hAnsi="宋体"/>
          <w:sz w:val="24"/>
        </w:rPr>
      </w:pPr>
      <w:bookmarkStart w:id="0" w:name="_Toc449568588"/>
      <w:bookmarkStart w:id="1" w:name="_Toc4047"/>
      <w:r>
        <w:rPr>
          <w:rFonts w:hint="eastAsia" w:ascii="宋体" w:hAnsi="宋体"/>
          <w:sz w:val="96"/>
          <w:szCs w:val="96"/>
        </w:rPr>
        <w:t>竞争性磋商文件</w:t>
      </w:r>
      <w:bookmarkEnd w:id="0"/>
      <w:r>
        <w:rPr>
          <w:rFonts w:hint="eastAsia" w:ascii="宋体" w:hAnsi="宋体"/>
          <w:sz w:val="96"/>
          <w:szCs w:val="96"/>
        </w:rPr>
        <w:br w:type="textWrapping"/>
      </w:r>
      <w:r>
        <w:rPr>
          <w:rFonts w:hint="eastAsia" w:ascii="宋体" w:hAnsi="宋体"/>
          <w:sz w:val="72"/>
          <w:szCs w:val="72"/>
        </w:rPr>
        <w:br w:type="textWrapping"/>
      </w:r>
      <w:bookmarkEnd w:id="1"/>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spacing w:line="360" w:lineRule="auto"/>
        <w:ind w:left="3207" w:leftChars="456" w:hanging="2249" w:hangingChars="700"/>
        <w:rPr>
          <w:rFonts w:hint="eastAsia" w:ascii="宋体" w:hAnsi="宋体" w:cs="Arial"/>
          <w:b/>
          <w:kern w:val="0"/>
          <w:sz w:val="32"/>
          <w:szCs w:val="32"/>
          <w:lang w:val="en-US" w:eastAsia="zh-CN"/>
        </w:rPr>
      </w:pPr>
      <w:r>
        <w:rPr>
          <w:rFonts w:hint="eastAsia" w:ascii="宋体" w:hAnsi="宋体" w:cs="Arial"/>
          <w:b/>
          <w:kern w:val="0"/>
          <w:sz w:val="32"/>
          <w:szCs w:val="32"/>
        </w:rPr>
        <w:t>项目名称：</w:t>
      </w:r>
      <w:r>
        <w:rPr>
          <w:rFonts w:hint="eastAsia" w:ascii="宋体" w:hAnsi="宋体" w:cs="Arial"/>
          <w:b/>
          <w:kern w:val="0"/>
          <w:sz w:val="32"/>
          <w:szCs w:val="32"/>
          <w:lang w:val="en-US" w:eastAsia="zh-CN"/>
        </w:rPr>
        <w:t>都兰县2024年欠发达国有林场种苗基地建设项目</w:t>
      </w:r>
      <w:bookmarkStart w:id="138" w:name="_GoBack"/>
      <w:bookmarkEnd w:id="138"/>
    </w:p>
    <w:p>
      <w:pPr>
        <w:spacing w:line="360" w:lineRule="auto"/>
        <w:ind w:left="3197" w:leftChars="1216" w:hanging="643" w:hangingChars="200"/>
        <w:rPr>
          <w:rFonts w:hint="default" w:ascii="宋体" w:hAnsi="宋体" w:eastAsia="宋体" w:cs="Arial"/>
          <w:b/>
          <w:kern w:val="0"/>
          <w:sz w:val="32"/>
          <w:szCs w:val="32"/>
          <w:lang w:val="en-US" w:eastAsia="zh-CN"/>
        </w:rPr>
      </w:pPr>
      <w:r>
        <w:rPr>
          <w:rFonts w:hint="eastAsia" w:ascii="宋体" w:hAnsi="宋体" w:cs="Arial"/>
          <w:b/>
          <w:kern w:val="0"/>
          <w:sz w:val="32"/>
          <w:szCs w:val="32"/>
          <w:lang w:val="en-US" w:eastAsia="zh-CN"/>
        </w:rPr>
        <w:t>第二次</w:t>
      </w:r>
    </w:p>
    <w:p>
      <w:pPr>
        <w:adjustRightInd w:val="0"/>
        <w:snapToGrid w:val="0"/>
        <w:spacing w:line="360" w:lineRule="auto"/>
        <w:ind w:firstLine="964" w:firstLineChars="300"/>
        <w:textAlignment w:val="baseline"/>
        <w:outlineLvl w:val="9"/>
        <w:rPr>
          <w:rFonts w:hint="default" w:ascii="宋体" w:hAnsi="宋体" w:cs="Arial"/>
          <w:b/>
          <w:kern w:val="0"/>
          <w:sz w:val="32"/>
          <w:szCs w:val="32"/>
          <w:lang w:val="en-US" w:eastAsia="zh-CN"/>
        </w:rPr>
      </w:pPr>
      <w:r>
        <w:rPr>
          <w:rFonts w:hint="eastAsia" w:ascii="宋体" w:hAnsi="宋体" w:cs="Arial"/>
          <w:b/>
          <w:kern w:val="0"/>
          <w:sz w:val="32"/>
          <w:szCs w:val="32"/>
        </w:rPr>
        <w:t>项目编号：</w:t>
      </w:r>
      <w:r>
        <w:rPr>
          <w:rFonts w:hint="eastAsia" w:ascii="宋体" w:hAnsi="宋体" w:cs="Arial"/>
          <w:b/>
          <w:kern w:val="0"/>
          <w:sz w:val="32"/>
          <w:szCs w:val="32"/>
          <w:lang w:eastAsia="zh-CN"/>
        </w:rPr>
        <w:t>青海世瀚竞磋（货物）202</w:t>
      </w:r>
      <w:r>
        <w:rPr>
          <w:rFonts w:hint="eastAsia" w:ascii="宋体" w:hAnsi="宋体" w:cs="Arial"/>
          <w:b/>
          <w:kern w:val="0"/>
          <w:sz w:val="32"/>
          <w:szCs w:val="32"/>
          <w:lang w:val="en-US" w:eastAsia="zh-CN"/>
        </w:rPr>
        <w:t>4</w:t>
      </w:r>
      <w:r>
        <w:rPr>
          <w:rFonts w:hint="eastAsia" w:ascii="宋体" w:hAnsi="宋体" w:cs="Arial"/>
          <w:b/>
          <w:kern w:val="0"/>
          <w:sz w:val="32"/>
          <w:szCs w:val="32"/>
          <w:lang w:eastAsia="zh-CN"/>
        </w:rPr>
        <w:t>-0</w:t>
      </w:r>
      <w:r>
        <w:rPr>
          <w:rFonts w:hint="eastAsia" w:ascii="宋体" w:hAnsi="宋体" w:cs="Arial"/>
          <w:b/>
          <w:kern w:val="0"/>
          <w:sz w:val="32"/>
          <w:szCs w:val="32"/>
          <w:lang w:val="en-US" w:eastAsia="zh-CN"/>
        </w:rPr>
        <w:t>01-1</w:t>
      </w:r>
    </w:p>
    <w:p>
      <w:pPr>
        <w:adjustRightInd w:val="0"/>
        <w:snapToGrid w:val="0"/>
        <w:spacing w:line="360" w:lineRule="auto"/>
        <w:ind w:firstLine="964" w:firstLineChars="300"/>
        <w:textAlignment w:val="baseline"/>
        <w:rPr>
          <w:rFonts w:hint="default" w:ascii="宋体" w:hAnsi="宋体" w:eastAsia="宋体" w:cs="Arial"/>
          <w:b/>
          <w:kern w:val="0"/>
          <w:sz w:val="32"/>
          <w:szCs w:val="32"/>
          <w:lang w:val="en-US" w:eastAsia="zh-CN"/>
        </w:rPr>
      </w:pPr>
      <w:r>
        <w:rPr>
          <w:rFonts w:hint="eastAsia" w:ascii="宋体" w:hAnsi="宋体" w:cs="Arial"/>
          <w:b/>
          <w:kern w:val="0"/>
          <w:sz w:val="32"/>
          <w:szCs w:val="32"/>
        </w:rPr>
        <w:t>采购单位</w:t>
      </w:r>
      <w:r>
        <w:rPr>
          <w:rFonts w:hint="eastAsia" w:ascii="宋体" w:hAnsi="宋体"/>
          <w:sz w:val="32"/>
          <w:szCs w:val="32"/>
        </w:rPr>
        <w:t>：</w:t>
      </w:r>
      <w:r>
        <w:rPr>
          <w:rFonts w:hint="eastAsia" w:ascii="宋体" w:hAnsi="宋体" w:cs="Arial"/>
          <w:b/>
          <w:kern w:val="0"/>
          <w:sz w:val="32"/>
          <w:szCs w:val="32"/>
          <w:lang w:val="en-US" w:eastAsia="zh-CN"/>
        </w:rPr>
        <w:t>都兰县林业和草原局</w:t>
      </w:r>
    </w:p>
    <w:p>
      <w:pPr>
        <w:adjustRightInd w:val="0"/>
        <w:snapToGrid w:val="0"/>
        <w:spacing w:line="360" w:lineRule="auto"/>
        <w:ind w:firstLine="964" w:firstLineChars="300"/>
        <w:textAlignment w:val="baseline"/>
        <w:outlineLvl w:val="9"/>
        <w:rPr>
          <w:rFonts w:ascii="宋体" w:hAnsi="宋体"/>
          <w:b/>
          <w:bCs/>
          <w:sz w:val="32"/>
          <w:szCs w:val="32"/>
        </w:rPr>
      </w:pPr>
      <w:r>
        <w:rPr>
          <w:rFonts w:ascii="宋体" w:hAnsi="宋体"/>
          <w:b/>
          <w:bCs/>
          <w:sz w:val="32"/>
          <w:szCs w:val="32"/>
        </w:rPr>
        <w:t>代理机构</w:t>
      </w:r>
      <w:r>
        <w:rPr>
          <w:rFonts w:hint="eastAsia" w:ascii="宋体" w:hAnsi="宋体"/>
          <w:b/>
          <w:bCs/>
          <w:sz w:val="32"/>
          <w:szCs w:val="32"/>
        </w:rPr>
        <w:t>：青海</w:t>
      </w:r>
      <w:r>
        <w:rPr>
          <w:rFonts w:hint="eastAsia" w:ascii="宋体" w:hAnsi="宋体"/>
          <w:b/>
          <w:bCs/>
          <w:sz w:val="32"/>
          <w:szCs w:val="32"/>
          <w:lang w:val="en-US" w:eastAsia="zh-CN"/>
        </w:rPr>
        <w:t>世瀚工程</w:t>
      </w:r>
      <w:r>
        <w:rPr>
          <w:rFonts w:hint="eastAsia" w:ascii="宋体" w:hAnsi="宋体"/>
          <w:b/>
          <w:bCs/>
          <w:sz w:val="32"/>
          <w:szCs w:val="32"/>
        </w:rPr>
        <w:t>项目管理有限公司</w:t>
      </w:r>
    </w:p>
    <w:p>
      <w:pPr>
        <w:adjustRightInd w:val="0"/>
        <w:snapToGrid w:val="0"/>
        <w:spacing w:line="360" w:lineRule="auto"/>
        <w:ind w:left="2681" w:leftChars="194" w:hanging="2274" w:hangingChars="708"/>
        <w:textAlignment w:val="baseline"/>
        <w:rPr>
          <w:rFonts w:ascii="宋体" w:hAnsi="宋体"/>
          <w:b/>
          <w:bCs/>
          <w:sz w:val="32"/>
          <w:szCs w:val="32"/>
        </w:rPr>
      </w:pPr>
    </w:p>
    <w:p>
      <w:pPr>
        <w:adjustRightInd w:val="0"/>
        <w:spacing w:line="360" w:lineRule="auto"/>
        <w:jc w:val="center"/>
        <w:textAlignment w:val="baseline"/>
        <w:rPr>
          <w:rFonts w:ascii="宋体" w:hAnsi="宋体"/>
          <w:sz w:val="24"/>
        </w:rPr>
      </w:pPr>
      <w:r>
        <w:rPr>
          <w:rFonts w:hint="eastAsia" w:ascii="宋体" w:hAnsi="宋体"/>
          <w:b/>
          <w:bCs/>
          <w:sz w:val="32"/>
          <w:szCs w:val="32"/>
        </w:rPr>
        <w:t>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03</w:t>
      </w:r>
      <w:r>
        <w:rPr>
          <w:rFonts w:hint="eastAsia" w:ascii="宋体" w:hAnsi="宋体"/>
          <w:b/>
          <w:bCs/>
          <w:sz w:val="32"/>
          <w:szCs w:val="32"/>
        </w:rPr>
        <w:t>月</w:t>
      </w:r>
      <w:r>
        <w:rPr>
          <w:rFonts w:ascii="宋体" w:hAnsi="宋体"/>
          <w:sz w:val="24"/>
        </w:rPr>
        <w:br w:type="page"/>
      </w:r>
    </w:p>
    <w:sdt>
      <w:sdtPr>
        <w:rPr>
          <w:rFonts w:ascii="宋体" w:hAnsi="宋体" w:eastAsia="宋体" w:cs="Times New Roman"/>
          <w:kern w:val="2"/>
          <w:sz w:val="21"/>
          <w:szCs w:val="24"/>
          <w:lang w:val="en-US" w:eastAsia="zh-CN" w:bidi="ar-SA"/>
        </w:rPr>
        <w:id w:val="147468544"/>
        <w15:color w:val="DBDBDB"/>
        <w:docPartObj>
          <w:docPartGallery w:val="Table of Contents"/>
          <w:docPartUnique/>
        </w:docPartObj>
      </w:sdtPr>
      <w:sdtEndPr>
        <w:rPr>
          <w:rFonts w:ascii="宋体" w:hAnsi="宋体"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2"/>
            <w:tabs>
              <w:tab w:val="right" w:leader="dot" w:pos="9752"/>
              <w:tab w:val="clear" w:pos="8296"/>
            </w:tabs>
          </w:pPr>
          <w:r>
            <w:rPr>
              <w:rFonts w:ascii="宋体" w:hAnsi="宋体"/>
              <w:bCs/>
              <w:sz w:val="24"/>
            </w:rPr>
            <w:fldChar w:fldCharType="begin"/>
          </w:r>
          <w:r>
            <w:rPr>
              <w:rFonts w:ascii="宋体" w:hAnsi="宋体"/>
              <w:bCs/>
              <w:sz w:val="24"/>
            </w:rPr>
            <w:instrText xml:space="preserve">TOC \o "1-2" \h \u </w:instrText>
          </w:r>
          <w:r>
            <w:rPr>
              <w:rFonts w:ascii="宋体" w:hAnsi="宋体"/>
              <w:bCs/>
              <w:sz w:val="24"/>
            </w:rPr>
            <w:fldChar w:fldCharType="separate"/>
          </w:r>
          <w:r>
            <w:rPr>
              <w:rFonts w:ascii="宋体" w:hAnsi="宋体"/>
              <w:bCs/>
            </w:rPr>
            <w:fldChar w:fldCharType="begin"/>
          </w:r>
          <w:r>
            <w:rPr>
              <w:rFonts w:ascii="宋体" w:hAnsi="宋体"/>
              <w:bCs/>
            </w:rPr>
            <w:instrText xml:space="preserve"> HYPERLINK \l _Toc4047 </w:instrText>
          </w:r>
          <w:r>
            <w:rPr>
              <w:rFonts w:ascii="宋体" w:hAnsi="宋体"/>
              <w:bCs/>
            </w:rPr>
            <w:fldChar w:fldCharType="separate"/>
          </w:r>
          <w:r>
            <w:rPr>
              <w:rFonts w:hint="eastAsia" w:ascii="宋体" w:hAnsi="宋体"/>
              <w:szCs w:val="96"/>
            </w:rPr>
            <w:t xml:space="preserve">竞争性磋商文件 </w:t>
          </w:r>
          <w:r>
            <w:rPr>
              <w:rFonts w:hint="eastAsia" w:ascii="宋体" w:hAnsi="宋体"/>
              <w:szCs w:val="72"/>
            </w:rPr>
            <w:t xml:space="preserve"> </w:t>
          </w:r>
          <w:r>
            <w:tab/>
          </w:r>
          <w:r>
            <w:fldChar w:fldCharType="begin"/>
          </w:r>
          <w:r>
            <w:instrText xml:space="preserve"> PAGEREF _Toc4047 \h </w:instrText>
          </w:r>
          <w:r>
            <w:fldChar w:fldCharType="separate"/>
          </w:r>
          <w:r>
            <w:t>0</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_Toc2728 </w:instrText>
          </w:r>
          <w:r>
            <w:rPr>
              <w:rFonts w:ascii="宋体" w:hAnsi="宋体"/>
              <w:bCs/>
            </w:rPr>
            <w:fldChar w:fldCharType="separate"/>
          </w:r>
          <w:r>
            <w:rPr>
              <w:rFonts w:hint="eastAsia" w:ascii="宋体" w:hAnsi="宋体"/>
              <w:szCs w:val="48"/>
            </w:rPr>
            <w:t>第一部分  磋商邀请</w:t>
          </w:r>
          <w:r>
            <w:tab/>
          </w:r>
          <w:r>
            <w:fldChar w:fldCharType="begin"/>
          </w:r>
          <w:r>
            <w:instrText xml:space="preserve"> PAGEREF _Toc2728 \h </w:instrText>
          </w:r>
          <w:r>
            <w:fldChar w:fldCharType="separate"/>
          </w:r>
          <w:r>
            <w:t>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_Toc7676 </w:instrText>
          </w:r>
          <w:r>
            <w:rPr>
              <w:rFonts w:ascii="宋体" w:hAnsi="宋体"/>
              <w:bCs/>
            </w:rPr>
            <w:fldChar w:fldCharType="separate"/>
          </w:r>
          <w:r>
            <w:rPr>
              <w:rFonts w:hint="eastAsia"/>
              <w:szCs w:val="48"/>
            </w:rPr>
            <w:t>第二部分  供应商须知前附表</w:t>
          </w:r>
          <w:r>
            <w:tab/>
          </w:r>
          <w:r>
            <w:fldChar w:fldCharType="begin"/>
          </w:r>
          <w:r>
            <w:instrText xml:space="preserve"> PAGEREF _Toc7676 \h </w:instrText>
          </w:r>
          <w:r>
            <w:fldChar w:fldCharType="separate"/>
          </w:r>
          <w:r>
            <w:t>4</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_Toc19924 </w:instrText>
          </w:r>
          <w:r>
            <w:rPr>
              <w:rFonts w:ascii="宋体" w:hAnsi="宋体"/>
              <w:bCs/>
            </w:rPr>
            <w:fldChar w:fldCharType="separate"/>
          </w:r>
          <w:r>
            <w:rPr>
              <w:rFonts w:hint="eastAsia" w:ascii="宋体" w:hAnsi="宋体"/>
              <w:szCs w:val="48"/>
            </w:rPr>
            <w:t>第三部分  供应商须知</w:t>
          </w:r>
          <w:r>
            <w:tab/>
          </w:r>
          <w:r>
            <w:fldChar w:fldCharType="begin"/>
          </w:r>
          <w:r>
            <w:instrText xml:space="preserve"> PAGEREF _Toc19924 \h </w:instrText>
          </w:r>
          <w:r>
            <w:fldChar w:fldCharType="separate"/>
          </w:r>
          <w:r>
            <w:t>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_Toc24705 </w:instrText>
          </w:r>
          <w:r>
            <w:rPr>
              <w:rFonts w:ascii="宋体" w:hAnsi="宋体"/>
              <w:bCs/>
            </w:rPr>
            <w:fldChar w:fldCharType="separate"/>
          </w:r>
          <w:r>
            <w:rPr>
              <w:rFonts w:hint="eastAsia" w:hAnsi="宋体"/>
              <w:szCs w:val="24"/>
              <w:lang w:val="en-US" w:eastAsia="zh-CN"/>
            </w:rPr>
            <w:t>一、</w:t>
          </w:r>
          <w:r>
            <w:rPr>
              <w:rFonts w:hint="eastAsia" w:hAnsi="宋体"/>
              <w:szCs w:val="24"/>
            </w:rPr>
            <w:t>说明</w:t>
          </w:r>
          <w:r>
            <w:tab/>
          </w:r>
          <w:r>
            <w:fldChar w:fldCharType="begin"/>
          </w:r>
          <w:r>
            <w:instrText xml:space="preserve"> PAGEREF _Toc24705 \h </w:instrText>
          </w:r>
          <w:r>
            <w:fldChar w:fldCharType="separate"/>
          </w:r>
          <w:r>
            <w:t>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_Toc25296 </w:instrText>
          </w:r>
          <w:r>
            <w:rPr>
              <w:rFonts w:ascii="宋体" w:hAnsi="宋体"/>
              <w:bCs/>
            </w:rPr>
            <w:fldChar w:fldCharType="separate"/>
          </w:r>
          <w:r>
            <w:rPr>
              <w:rFonts w:hint="eastAsia" w:hAnsi="宋体"/>
              <w:szCs w:val="24"/>
              <w:lang w:val="en-US" w:eastAsia="zh-CN"/>
            </w:rPr>
            <w:t>二、</w:t>
          </w:r>
          <w:r>
            <w:rPr>
              <w:rFonts w:hint="eastAsia" w:hAnsi="宋体"/>
              <w:szCs w:val="24"/>
            </w:rPr>
            <w:t>磋商文件说明</w:t>
          </w:r>
          <w:r>
            <w:tab/>
          </w:r>
          <w:r>
            <w:fldChar w:fldCharType="begin"/>
          </w:r>
          <w:r>
            <w:instrText xml:space="preserve"> PAGEREF _Toc25296 \h </w:instrText>
          </w:r>
          <w:r>
            <w:fldChar w:fldCharType="separate"/>
          </w:r>
          <w:r>
            <w:t>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_Toc2577 </w:instrText>
          </w:r>
          <w:r>
            <w:rPr>
              <w:rFonts w:ascii="宋体" w:hAnsi="宋体"/>
              <w:bCs/>
            </w:rPr>
            <w:fldChar w:fldCharType="separate"/>
          </w:r>
          <w:r>
            <w:rPr>
              <w:rFonts w:hint="eastAsia" w:hAnsi="宋体"/>
              <w:szCs w:val="24"/>
              <w:lang w:val="en-US" w:eastAsia="zh-CN"/>
            </w:rPr>
            <w:t>三、</w:t>
          </w:r>
          <w:r>
            <w:rPr>
              <w:rFonts w:hint="eastAsia" w:hAnsi="宋体"/>
              <w:szCs w:val="24"/>
            </w:rPr>
            <w:t>响应文件的编写</w:t>
          </w:r>
          <w:r>
            <w:tab/>
          </w:r>
          <w:r>
            <w:fldChar w:fldCharType="begin"/>
          </w:r>
          <w:r>
            <w:instrText xml:space="preserve"> PAGEREF _Toc2577 \h </w:instrText>
          </w:r>
          <w:r>
            <w:fldChar w:fldCharType="separate"/>
          </w:r>
          <w:r>
            <w:t>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_Toc12849 </w:instrText>
          </w:r>
          <w:r>
            <w:rPr>
              <w:rFonts w:ascii="宋体" w:hAnsi="宋体"/>
              <w:bCs/>
            </w:rPr>
            <w:fldChar w:fldCharType="separate"/>
          </w:r>
          <w:r>
            <w:rPr>
              <w:rFonts w:hint="eastAsia" w:hAnsi="宋体"/>
              <w:szCs w:val="24"/>
              <w:lang w:val="en-US" w:eastAsia="zh-CN"/>
            </w:rPr>
            <w:t>四、</w:t>
          </w:r>
          <w:r>
            <w:rPr>
              <w:rFonts w:hint="eastAsia" w:hAnsi="宋体"/>
              <w:szCs w:val="24"/>
            </w:rPr>
            <w:t>磋商响应文件的递交</w:t>
          </w:r>
          <w:r>
            <w:tab/>
          </w:r>
          <w:r>
            <w:fldChar w:fldCharType="begin"/>
          </w:r>
          <w:r>
            <w:instrText xml:space="preserve"> PAGEREF _Toc12849 \h </w:instrText>
          </w:r>
          <w:r>
            <w:fldChar w:fldCharType="separate"/>
          </w:r>
          <w:r>
            <w:t>11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_Toc9945 </w:instrText>
          </w:r>
          <w:r>
            <w:rPr>
              <w:rFonts w:ascii="宋体" w:hAnsi="宋体"/>
              <w:bCs/>
            </w:rPr>
            <w:fldChar w:fldCharType="separate"/>
          </w:r>
          <w:r>
            <w:rPr>
              <w:rFonts w:hint="eastAsia" w:hAnsi="宋体"/>
              <w:szCs w:val="24"/>
              <w:lang w:val="en-US" w:eastAsia="zh-CN"/>
            </w:rPr>
            <w:t>五、</w:t>
          </w:r>
          <w:r>
            <w:rPr>
              <w:rFonts w:hint="eastAsia" w:hAnsi="宋体"/>
              <w:szCs w:val="24"/>
            </w:rPr>
            <w:t>磋商过程</w:t>
          </w:r>
          <w:r>
            <w:tab/>
          </w:r>
          <w:r>
            <w:fldChar w:fldCharType="begin"/>
          </w:r>
          <w:r>
            <w:instrText xml:space="preserve"> PAGEREF _Toc9945 \h </w:instrText>
          </w:r>
          <w:r>
            <w:fldChar w:fldCharType="separate"/>
          </w:r>
          <w:r>
            <w:t>11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_Toc28084 </w:instrText>
          </w:r>
          <w:r>
            <w:rPr>
              <w:rFonts w:ascii="宋体" w:hAnsi="宋体"/>
              <w:bCs/>
            </w:rPr>
            <w:fldChar w:fldCharType="separate"/>
          </w:r>
          <w:r>
            <w:rPr>
              <w:rFonts w:hint="eastAsia" w:hAnsi="宋体"/>
              <w:szCs w:val="24"/>
              <w:lang w:val="en-US" w:eastAsia="zh-CN"/>
            </w:rPr>
            <w:t>六、</w:t>
          </w:r>
          <w:r>
            <w:rPr>
              <w:rFonts w:hint="eastAsia" w:hAnsi="宋体"/>
              <w:szCs w:val="24"/>
            </w:rPr>
            <w:t>资格审查</w:t>
          </w:r>
          <w:r>
            <w:tab/>
          </w:r>
          <w:r>
            <w:fldChar w:fldCharType="begin"/>
          </w:r>
          <w:r>
            <w:instrText xml:space="preserve"> PAGEREF _Toc28084 \h </w:instrText>
          </w:r>
          <w:r>
            <w:fldChar w:fldCharType="separate"/>
          </w:r>
          <w:r>
            <w:t>11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_Toc9952 </w:instrText>
          </w:r>
          <w:r>
            <w:rPr>
              <w:rFonts w:ascii="宋体" w:hAnsi="宋体"/>
              <w:bCs/>
            </w:rPr>
            <w:fldChar w:fldCharType="separate"/>
          </w:r>
          <w:r>
            <w:rPr>
              <w:rFonts w:hint="eastAsia" w:hAnsi="宋体"/>
              <w:szCs w:val="24"/>
              <w:lang w:val="en-US" w:eastAsia="zh-CN"/>
            </w:rPr>
            <w:t>七、</w:t>
          </w:r>
          <w:r>
            <w:rPr>
              <w:rFonts w:hint="eastAsia" w:hAnsi="宋体"/>
              <w:szCs w:val="24"/>
            </w:rPr>
            <w:t>评审程序及方法</w:t>
          </w:r>
          <w:r>
            <w:tab/>
          </w:r>
          <w:r>
            <w:fldChar w:fldCharType="begin"/>
          </w:r>
          <w:r>
            <w:instrText xml:space="preserve"> PAGEREF _Toc9952 \h </w:instrText>
          </w:r>
          <w:r>
            <w:fldChar w:fldCharType="separate"/>
          </w:r>
          <w:r>
            <w:t>12</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_Toc7575 </w:instrText>
          </w:r>
          <w:r>
            <w:rPr>
              <w:rFonts w:ascii="宋体" w:hAnsi="宋体"/>
              <w:bCs/>
            </w:rPr>
            <w:fldChar w:fldCharType="separate"/>
          </w:r>
          <w:r>
            <w:rPr>
              <w:rFonts w:hint="eastAsia" w:hAnsi="宋体"/>
              <w:szCs w:val="24"/>
              <w:lang w:val="en-US" w:eastAsia="zh-CN"/>
            </w:rPr>
            <w:t>八、</w:t>
          </w:r>
          <w:r>
            <w:rPr>
              <w:rFonts w:hint="eastAsia" w:hAnsi="宋体"/>
              <w:szCs w:val="24"/>
            </w:rPr>
            <w:t>定标</w:t>
          </w:r>
          <w:r>
            <w:tab/>
          </w:r>
          <w:r>
            <w:fldChar w:fldCharType="begin"/>
          </w:r>
          <w:r>
            <w:instrText xml:space="preserve"> PAGEREF _Toc7575 \h </w:instrText>
          </w:r>
          <w:r>
            <w:fldChar w:fldCharType="separate"/>
          </w:r>
          <w:r>
            <w:t>17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_Toc12398 </w:instrText>
          </w:r>
          <w:r>
            <w:rPr>
              <w:rFonts w:ascii="宋体" w:hAnsi="宋体"/>
              <w:bCs/>
            </w:rPr>
            <w:fldChar w:fldCharType="separate"/>
          </w:r>
          <w:r>
            <w:rPr>
              <w:rFonts w:hint="eastAsia" w:hAnsi="宋体"/>
              <w:szCs w:val="24"/>
              <w:lang w:val="en-US" w:eastAsia="zh-CN"/>
            </w:rPr>
            <w:t>九、</w:t>
          </w:r>
          <w:r>
            <w:rPr>
              <w:rFonts w:hint="eastAsia" w:hAnsi="宋体"/>
              <w:szCs w:val="24"/>
            </w:rPr>
            <w:t>授予合同</w:t>
          </w:r>
          <w:r>
            <w:tab/>
          </w:r>
          <w:r>
            <w:fldChar w:fldCharType="begin"/>
          </w:r>
          <w:r>
            <w:instrText xml:space="preserve"> PAGEREF _Toc12398 \h </w:instrText>
          </w:r>
          <w:r>
            <w:fldChar w:fldCharType="separate"/>
          </w:r>
          <w:r>
            <w:t>18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_Toc14818 </w:instrText>
          </w:r>
          <w:r>
            <w:rPr>
              <w:rFonts w:ascii="宋体" w:hAnsi="宋体"/>
              <w:bCs/>
            </w:rPr>
            <w:fldChar w:fldCharType="separate"/>
          </w:r>
          <w:r>
            <w:rPr>
              <w:rFonts w:hint="eastAsia" w:hAnsi="宋体"/>
              <w:szCs w:val="24"/>
              <w:lang w:val="en-US" w:eastAsia="zh-CN"/>
            </w:rPr>
            <w:t>十、</w:t>
          </w:r>
          <w:r>
            <w:rPr>
              <w:rFonts w:hint="eastAsia" w:hAnsi="宋体"/>
              <w:szCs w:val="24"/>
            </w:rPr>
            <w:t>废标条款</w:t>
          </w:r>
          <w:r>
            <w:tab/>
          </w:r>
          <w:r>
            <w:fldChar w:fldCharType="begin"/>
          </w:r>
          <w:r>
            <w:instrText xml:space="preserve"> PAGEREF _Toc14818 \h </w:instrText>
          </w:r>
          <w:r>
            <w:fldChar w:fldCharType="separate"/>
          </w:r>
          <w:r>
            <w:t>19</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_Toc8908 </w:instrText>
          </w:r>
          <w:r>
            <w:rPr>
              <w:rFonts w:ascii="宋体" w:hAnsi="宋体"/>
              <w:bCs/>
            </w:rPr>
            <w:fldChar w:fldCharType="separate"/>
          </w:r>
          <w:r>
            <w:rPr>
              <w:rFonts w:hint="eastAsia" w:hAnsi="宋体"/>
              <w:szCs w:val="24"/>
              <w:lang w:val="en-US" w:eastAsia="zh-CN"/>
            </w:rPr>
            <w:t>十一、</w:t>
          </w:r>
          <w:r>
            <w:rPr>
              <w:rFonts w:hint="eastAsia" w:hAnsi="宋体"/>
              <w:szCs w:val="24"/>
            </w:rPr>
            <w:t>其他</w:t>
          </w:r>
          <w:r>
            <w:tab/>
          </w:r>
          <w:r>
            <w:fldChar w:fldCharType="begin"/>
          </w:r>
          <w:r>
            <w:instrText xml:space="preserve"> PAGEREF _Toc8908 \h </w:instrText>
          </w:r>
          <w:r>
            <w:fldChar w:fldCharType="separate"/>
          </w:r>
          <w:r>
            <w:t>19</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_Toc13998 </w:instrText>
          </w:r>
          <w:r>
            <w:rPr>
              <w:rFonts w:ascii="宋体" w:hAnsi="宋体"/>
              <w:bCs/>
            </w:rPr>
            <w:fldChar w:fldCharType="separate"/>
          </w:r>
          <w:r>
            <w:rPr>
              <w:rFonts w:hint="eastAsia"/>
              <w:szCs w:val="48"/>
              <w:lang w:val="en-US" w:eastAsia="zh-CN"/>
            </w:rPr>
            <w:t>第四部分  青海省政府采购合同文本样式</w:t>
          </w:r>
          <w:r>
            <w:tab/>
          </w:r>
          <w:r>
            <w:fldChar w:fldCharType="begin"/>
          </w:r>
          <w:r>
            <w:instrText xml:space="preserve"> PAGEREF _Toc13998 \h </w:instrText>
          </w:r>
          <w:r>
            <w:fldChar w:fldCharType="separate"/>
          </w:r>
          <w:r>
            <w:t>20</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_Toc13268 </w:instrText>
          </w:r>
          <w:r>
            <w:rPr>
              <w:rFonts w:ascii="宋体" w:hAnsi="宋体"/>
              <w:bCs/>
            </w:rPr>
            <w:fldChar w:fldCharType="separate"/>
          </w:r>
          <w:r>
            <w:rPr>
              <w:rFonts w:hint="eastAsia" w:ascii="宋体" w:hAnsi="宋体"/>
              <w:szCs w:val="48"/>
            </w:rPr>
            <w:t>第五部分  磋商响应文件格式</w:t>
          </w:r>
          <w:r>
            <w:tab/>
          </w:r>
          <w:r>
            <w:fldChar w:fldCharType="begin"/>
          </w:r>
          <w:r>
            <w:instrText xml:space="preserve"> PAGEREF _Toc13268 \h </w:instrText>
          </w:r>
          <w:r>
            <w:fldChar w:fldCharType="separate"/>
          </w:r>
          <w:r>
            <w:t>25</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_Toc25583 </w:instrText>
          </w:r>
          <w:r>
            <w:rPr>
              <w:rFonts w:ascii="宋体" w:hAnsi="宋体"/>
              <w:bCs/>
            </w:rPr>
            <w:fldChar w:fldCharType="separate"/>
          </w:r>
          <w:r>
            <w:rPr>
              <w:rFonts w:hint="eastAsia" w:hAnsi="宋体"/>
              <w:szCs w:val="24"/>
              <w:lang w:val="zh-CN"/>
            </w:rPr>
            <w:t>格式1、磋商函</w:t>
          </w:r>
          <w:r>
            <w:tab/>
          </w:r>
          <w:r>
            <w:fldChar w:fldCharType="begin"/>
          </w:r>
          <w:r>
            <w:instrText xml:space="preserve"> PAGEREF _Toc25583 \h </w:instrText>
          </w:r>
          <w:r>
            <w:fldChar w:fldCharType="separate"/>
          </w:r>
          <w:r>
            <w:t>28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_Toc10024 </w:instrText>
          </w:r>
          <w:r>
            <w:rPr>
              <w:rFonts w:ascii="宋体" w:hAnsi="宋体"/>
              <w:bCs/>
            </w:rPr>
            <w:fldChar w:fldCharType="separate"/>
          </w:r>
          <w:r>
            <w:rPr>
              <w:rFonts w:hint="eastAsia" w:hAnsi="宋体"/>
              <w:szCs w:val="24"/>
              <w:lang w:val="zh-CN"/>
            </w:rPr>
            <w:t>格式2、法定代表人证明书</w:t>
          </w:r>
          <w:r>
            <w:tab/>
          </w:r>
          <w:r>
            <w:fldChar w:fldCharType="begin"/>
          </w:r>
          <w:r>
            <w:instrText xml:space="preserve"> PAGEREF _Toc10024 \h </w:instrText>
          </w:r>
          <w:r>
            <w:fldChar w:fldCharType="separate"/>
          </w:r>
          <w:r>
            <w:t>29</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_Toc17487 </w:instrText>
          </w:r>
          <w:r>
            <w:rPr>
              <w:rFonts w:ascii="宋体" w:hAnsi="宋体"/>
              <w:bCs/>
            </w:rPr>
            <w:fldChar w:fldCharType="separate"/>
          </w:r>
          <w:r>
            <w:rPr>
              <w:rFonts w:hint="eastAsia" w:hAnsi="宋体"/>
              <w:szCs w:val="24"/>
              <w:lang w:val="zh-CN"/>
            </w:rPr>
            <w:t>格式3、法定代表人授权书</w:t>
          </w:r>
          <w:r>
            <w:tab/>
          </w:r>
          <w:r>
            <w:fldChar w:fldCharType="begin"/>
          </w:r>
          <w:r>
            <w:instrText xml:space="preserve"> PAGEREF _Toc17487 \h </w:instrText>
          </w:r>
          <w:r>
            <w:fldChar w:fldCharType="separate"/>
          </w:r>
          <w:r>
            <w:t>30</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_Toc21521 </w:instrText>
          </w:r>
          <w:r>
            <w:rPr>
              <w:rFonts w:ascii="宋体" w:hAnsi="宋体"/>
              <w:bCs/>
            </w:rPr>
            <w:fldChar w:fldCharType="separate"/>
          </w:r>
          <w:r>
            <w:rPr>
              <w:rFonts w:hint="eastAsia" w:hAnsi="宋体"/>
              <w:szCs w:val="24"/>
              <w:lang w:val="zh-CN"/>
            </w:rPr>
            <w:t>格式4、供应商承诺</w:t>
          </w:r>
          <w:r>
            <w:rPr>
              <w:rFonts w:hint="eastAsia" w:hAnsi="宋体"/>
              <w:szCs w:val="24"/>
              <w:lang w:val="en-US" w:eastAsia="zh-CN"/>
            </w:rPr>
            <w:t>函</w:t>
          </w:r>
          <w:r>
            <w:tab/>
          </w:r>
          <w:r>
            <w:fldChar w:fldCharType="begin"/>
          </w:r>
          <w:r>
            <w:instrText xml:space="preserve"> PAGEREF _Toc21521 \h </w:instrText>
          </w:r>
          <w:r>
            <w:fldChar w:fldCharType="separate"/>
          </w:r>
          <w:r>
            <w:t>31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_Toc23577 </w:instrText>
          </w:r>
          <w:r>
            <w:rPr>
              <w:rFonts w:ascii="宋体" w:hAnsi="宋体"/>
              <w:bCs/>
            </w:rPr>
            <w:fldChar w:fldCharType="separate"/>
          </w:r>
          <w:r>
            <w:rPr>
              <w:rFonts w:hint="eastAsia" w:hAnsi="宋体"/>
              <w:szCs w:val="24"/>
              <w:lang w:val="zh-CN"/>
            </w:rPr>
            <w:t>格式5、供应商诚信承诺书</w:t>
          </w:r>
          <w:r>
            <w:tab/>
          </w:r>
          <w:r>
            <w:fldChar w:fldCharType="begin"/>
          </w:r>
          <w:r>
            <w:instrText xml:space="preserve"> PAGEREF _Toc23577 \h </w:instrText>
          </w:r>
          <w:r>
            <w:fldChar w:fldCharType="separate"/>
          </w:r>
          <w:r>
            <w:t>32</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_Toc5963 </w:instrText>
          </w:r>
          <w:r>
            <w:rPr>
              <w:rFonts w:ascii="宋体" w:hAnsi="宋体"/>
              <w:bCs/>
            </w:rPr>
            <w:fldChar w:fldCharType="separate"/>
          </w:r>
          <w:r>
            <w:rPr>
              <w:rFonts w:hint="eastAsia" w:hAnsi="宋体"/>
              <w:szCs w:val="24"/>
              <w:lang w:val="zh-CN"/>
            </w:rPr>
            <w:t>格式6、资格证明材料</w:t>
          </w:r>
          <w:r>
            <w:tab/>
          </w:r>
          <w:r>
            <w:fldChar w:fldCharType="begin"/>
          </w:r>
          <w:r>
            <w:instrText xml:space="preserve"> PAGEREF _Toc5963 \h </w:instrText>
          </w:r>
          <w:r>
            <w:fldChar w:fldCharType="separate"/>
          </w:r>
          <w:r>
            <w:t>33</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_Toc16454 </w:instrText>
          </w:r>
          <w:r>
            <w:rPr>
              <w:rFonts w:ascii="宋体" w:hAnsi="宋体"/>
              <w:bCs/>
            </w:rPr>
            <w:fldChar w:fldCharType="separate"/>
          </w:r>
          <w:r>
            <w:rPr>
              <w:rFonts w:hint="eastAsia" w:hAnsi="宋体"/>
              <w:szCs w:val="24"/>
              <w:lang w:val="zh-CN"/>
            </w:rPr>
            <w:t>格式7、财务状况、缴纳税收和社会保障资金证明</w:t>
          </w:r>
          <w:r>
            <w:tab/>
          </w:r>
          <w:r>
            <w:fldChar w:fldCharType="begin"/>
          </w:r>
          <w:r>
            <w:instrText xml:space="preserve"> PAGEREF _Toc16454 \h </w:instrText>
          </w:r>
          <w:r>
            <w:fldChar w:fldCharType="separate"/>
          </w:r>
          <w:r>
            <w:t>34</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_Toc30800 </w:instrText>
          </w:r>
          <w:r>
            <w:rPr>
              <w:rFonts w:ascii="宋体" w:hAnsi="宋体"/>
              <w:bCs/>
            </w:rPr>
            <w:fldChar w:fldCharType="separate"/>
          </w:r>
          <w:r>
            <w:rPr>
              <w:rFonts w:hint="eastAsia" w:hAnsi="宋体"/>
              <w:szCs w:val="24"/>
              <w:lang w:val="zh-CN"/>
            </w:rPr>
            <w:t>格式8、具备履行合同所必须的设备和专业技术能力证明</w:t>
          </w:r>
          <w:r>
            <w:tab/>
          </w:r>
          <w:r>
            <w:fldChar w:fldCharType="begin"/>
          </w:r>
          <w:r>
            <w:instrText xml:space="preserve"> PAGEREF _Toc30800 \h </w:instrText>
          </w:r>
          <w:r>
            <w:fldChar w:fldCharType="separate"/>
          </w:r>
          <w:r>
            <w:t>35</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_Toc12075 </w:instrText>
          </w:r>
          <w:r>
            <w:rPr>
              <w:rFonts w:ascii="宋体" w:hAnsi="宋体"/>
              <w:bCs/>
            </w:rPr>
            <w:fldChar w:fldCharType="separate"/>
          </w:r>
          <w:r>
            <w:rPr>
              <w:rFonts w:hint="eastAsia" w:hAnsi="宋体"/>
              <w:szCs w:val="24"/>
              <w:lang w:val="zh-CN"/>
            </w:rPr>
            <w:t>格式9、磋商保证金证明（</w:t>
          </w:r>
          <w:r>
            <w:rPr>
              <w:rFonts w:hint="eastAsia" w:hAnsi="宋体"/>
              <w:szCs w:val="24"/>
              <w:lang w:val="en-US" w:eastAsia="zh-CN"/>
            </w:rPr>
            <w:t>本项目不适用</w:t>
          </w:r>
          <w:r>
            <w:rPr>
              <w:rFonts w:hint="eastAsia" w:hAnsi="宋体"/>
              <w:szCs w:val="24"/>
              <w:lang w:val="zh-CN"/>
            </w:rPr>
            <w:t>）</w:t>
          </w:r>
          <w:r>
            <w:tab/>
          </w:r>
          <w:r>
            <w:fldChar w:fldCharType="begin"/>
          </w:r>
          <w:r>
            <w:instrText xml:space="preserve"> PAGEREF _Toc12075 \h </w:instrText>
          </w:r>
          <w:r>
            <w:fldChar w:fldCharType="separate"/>
          </w:r>
          <w:r>
            <w:t>36</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_Toc17890 </w:instrText>
          </w:r>
          <w:r>
            <w:rPr>
              <w:rFonts w:ascii="宋体" w:hAnsi="宋体"/>
              <w:bCs/>
            </w:rPr>
            <w:fldChar w:fldCharType="separate"/>
          </w:r>
          <w:r>
            <w:rPr>
              <w:rFonts w:hint="eastAsia" w:hAnsi="宋体"/>
              <w:szCs w:val="24"/>
              <w:lang w:val="zh-CN"/>
            </w:rPr>
            <w:t>格式10、无重大违法记录声明</w:t>
          </w:r>
          <w:r>
            <w:tab/>
          </w:r>
          <w:r>
            <w:fldChar w:fldCharType="begin"/>
          </w:r>
          <w:r>
            <w:instrText xml:space="preserve"> PAGEREF _Toc17890 \h </w:instrText>
          </w:r>
          <w:r>
            <w:fldChar w:fldCharType="separate"/>
          </w:r>
          <w:r>
            <w:t>37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_Toc1879 </w:instrText>
          </w:r>
          <w:r>
            <w:rPr>
              <w:rFonts w:ascii="宋体" w:hAnsi="宋体"/>
              <w:bCs/>
            </w:rPr>
            <w:fldChar w:fldCharType="separate"/>
          </w:r>
          <w:r>
            <w:rPr>
              <w:rFonts w:hint="eastAsia" w:hAnsi="宋体"/>
              <w:szCs w:val="24"/>
              <w:lang w:val="zh-CN"/>
            </w:rPr>
            <w:t>格式11、</w:t>
          </w:r>
          <w:r>
            <w:rPr>
              <w:rFonts w:hint="eastAsia" w:hAnsi="宋体"/>
              <w:szCs w:val="24"/>
            </w:rPr>
            <w:t>竞争性磋商首次报价表</w:t>
          </w:r>
          <w:r>
            <w:tab/>
          </w:r>
          <w:r>
            <w:fldChar w:fldCharType="begin"/>
          </w:r>
          <w:r>
            <w:instrText xml:space="preserve"> PAGEREF _Toc1879 \h </w:instrText>
          </w:r>
          <w:r>
            <w:fldChar w:fldCharType="separate"/>
          </w:r>
          <w:r>
            <w:t>38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_Toc19418 </w:instrText>
          </w:r>
          <w:r>
            <w:rPr>
              <w:rFonts w:ascii="宋体" w:hAnsi="宋体"/>
              <w:bCs/>
            </w:rPr>
            <w:fldChar w:fldCharType="separate"/>
          </w:r>
          <w:r>
            <w:rPr>
              <w:rFonts w:hint="eastAsia" w:hAnsi="宋体"/>
              <w:szCs w:val="24"/>
              <w:lang w:val="zh-CN"/>
            </w:rPr>
            <w:t>格式12、分项报价表</w:t>
          </w:r>
          <w:r>
            <w:tab/>
          </w:r>
          <w:r>
            <w:fldChar w:fldCharType="begin"/>
          </w:r>
          <w:r>
            <w:instrText xml:space="preserve"> PAGEREF _Toc19418 \h </w:instrText>
          </w:r>
          <w:r>
            <w:fldChar w:fldCharType="separate"/>
          </w:r>
          <w:r>
            <w:t>39</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_Toc22177 </w:instrText>
          </w:r>
          <w:r>
            <w:rPr>
              <w:rFonts w:ascii="宋体" w:hAnsi="宋体"/>
              <w:bCs/>
            </w:rPr>
            <w:fldChar w:fldCharType="separate"/>
          </w:r>
          <w:r>
            <w:rPr>
              <w:rFonts w:hint="eastAsia" w:hAnsi="宋体"/>
              <w:szCs w:val="24"/>
              <w:lang w:val="zh-CN"/>
            </w:rPr>
            <w:t>格式13、技术规格响应表</w:t>
          </w:r>
          <w:r>
            <w:tab/>
          </w:r>
          <w:r>
            <w:fldChar w:fldCharType="begin"/>
          </w:r>
          <w:r>
            <w:instrText xml:space="preserve"> PAGEREF _Toc22177 \h </w:instrText>
          </w:r>
          <w:r>
            <w:fldChar w:fldCharType="separate"/>
          </w:r>
          <w:r>
            <w:t>40</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_Toc5259 </w:instrText>
          </w:r>
          <w:r>
            <w:rPr>
              <w:rFonts w:ascii="宋体" w:hAnsi="宋体"/>
              <w:bCs/>
            </w:rPr>
            <w:fldChar w:fldCharType="separate"/>
          </w:r>
          <w:r>
            <w:rPr>
              <w:rFonts w:hint="eastAsia" w:hAnsi="宋体"/>
              <w:szCs w:val="24"/>
              <w:lang w:val="zh-CN"/>
            </w:rPr>
            <w:t>格式14、磋商产品相关资料</w:t>
          </w:r>
          <w:r>
            <w:tab/>
          </w:r>
          <w:r>
            <w:fldChar w:fldCharType="begin"/>
          </w:r>
          <w:r>
            <w:instrText xml:space="preserve"> PAGEREF _Toc5259 \h </w:instrText>
          </w:r>
          <w:r>
            <w:fldChar w:fldCharType="separate"/>
          </w:r>
          <w:r>
            <w:t>41</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_Toc19071 </w:instrText>
          </w:r>
          <w:r>
            <w:rPr>
              <w:rFonts w:ascii="宋体" w:hAnsi="宋体"/>
              <w:bCs/>
            </w:rPr>
            <w:fldChar w:fldCharType="separate"/>
          </w:r>
          <w:r>
            <w:rPr>
              <w:rFonts w:hint="eastAsia" w:hAnsi="宋体"/>
              <w:szCs w:val="24"/>
              <w:lang w:val="zh-CN"/>
            </w:rPr>
            <w:t>格式15、供应商的类似业绩证明材料</w:t>
          </w:r>
          <w:r>
            <w:tab/>
          </w:r>
          <w:r>
            <w:fldChar w:fldCharType="begin"/>
          </w:r>
          <w:r>
            <w:instrText xml:space="preserve"> PAGEREF _Toc19071 \h </w:instrText>
          </w:r>
          <w:r>
            <w:fldChar w:fldCharType="separate"/>
          </w:r>
          <w:r>
            <w:t>42</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_Toc31297 </w:instrText>
          </w:r>
          <w:r>
            <w:rPr>
              <w:rFonts w:ascii="宋体" w:hAnsi="宋体"/>
              <w:bCs/>
            </w:rPr>
            <w:fldChar w:fldCharType="separate"/>
          </w:r>
          <w:r>
            <w:rPr>
              <w:rFonts w:hint="eastAsia" w:hAnsi="宋体"/>
              <w:szCs w:val="24"/>
              <w:lang w:val="zh-CN"/>
            </w:rPr>
            <w:t>格式16、落实政府采购政策需满足的资格证明材料</w:t>
          </w:r>
          <w:r>
            <w:tab/>
          </w:r>
          <w:r>
            <w:fldChar w:fldCharType="begin"/>
          </w:r>
          <w:r>
            <w:instrText xml:space="preserve"> PAGEREF _Toc31297 \h </w:instrText>
          </w:r>
          <w:r>
            <w:fldChar w:fldCharType="separate"/>
          </w:r>
          <w:r>
            <w:t>43</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_Toc21517 </w:instrText>
          </w:r>
          <w:r>
            <w:rPr>
              <w:rFonts w:ascii="宋体" w:hAnsi="宋体"/>
              <w:bCs/>
            </w:rPr>
            <w:fldChar w:fldCharType="separate"/>
          </w:r>
          <w:r>
            <w:rPr>
              <w:rFonts w:hint="eastAsia" w:hAnsi="宋体"/>
              <w:szCs w:val="24"/>
              <w:lang w:val="zh-CN"/>
            </w:rPr>
            <w:t>格式17、磋商供应商认为在其他方面有必要说明的事项</w:t>
          </w:r>
          <w:r>
            <w:tab/>
          </w:r>
          <w:r>
            <w:fldChar w:fldCharType="begin"/>
          </w:r>
          <w:r>
            <w:instrText xml:space="preserve"> PAGEREF _Toc21517 \h </w:instrText>
          </w:r>
          <w:r>
            <w:fldChar w:fldCharType="separate"/>
          </w:r>
          <w:r>
            <w:t>46</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_Toc12703 </w:instrText>
          </w:r>
          <w:r>
            <w:rPr>
              <w:rFonts w:ascii="宋体" w:hAnsi="宋体"/>
              <w:bCs/>
            </w:rPr>
            <w:fldChar w:fldCharType="separate"/>
          </w:r>
          <w:r>
            <w:rPr>
              <w:rFonts w:hAnsi="宋体"/>
              <w:szCs w:val="24"/>
              <w:lang w:val="zh-CN"/>
            </w:rPr>
            <w:t>格式</w:t>
          </w:r>
          <w:r>
            <w:rPr>
              <w:rFonts w:hint="eastAsia" w:hAnsi="宋体"/>
              <w:szCs w:val="24"/>
              <w:lang w:val="zh-CN"/>
            </w:rPr>
            <w:t>18、磋商最终报价表</w:t>
          </w:r>
          <w:r>
            <w:rPr>
              <w:rFonts w:hint="eastAsia" w:hAnsi="宋体"/>
              <w:szCs w:val="24"/>
            </w:rPr>
            <w:t>（单独提交）</w:t>
          </w:r>
          <w:r>
            <w:tab/>
          </w:r>
          <w:r>
            <w:fldChar w:fldCharType="begin"/>
          </w:r>
          <w:r>
            <w:instrText xml:space="preserve"> PAGEREF _Toc12703 \h </w:instrText>
          </w:r>
          <w:r>
            <w:fldChar w:fldCharType="separate"/>
          </w:r>
          <w:r>
            <w:t>47</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_Toc9595 </w:instrText>
          </w:r>
          <w:r>
            <w:rPr>
              <w:rFonts w:ascii="宋体" w:hAnsi="宋体"/>
              <w:bCs/>
            </w:rPr>
            <w:fldChar w:fldCharType="separate"/>
          </w:r>
          <w:r>
            <w:rPr>
              <w:rFonts w:hint="eastAsia" w:ascii="宋体" w:hAnsi="宋体"/>
              <w:szCs w:val="48"/>
            </w:rPr>
            <w:t>第六部分  采购项目要求及技术参数</w:t>
          </w:r>
          <w:r>
            <w:tab/>
          </w:r>
          <w:r>
            <w:fldChar w:fldCharType="begin"/>
          </w:r>
          <w:r>
            <w:instrText xml:space="preserve"> PAGEREF _Toc9595 \h </w:instrText>
          </w:r>
          <w:r>
            <w:fldChar w:fldCharType="separate"/>
          </w:r>
          <w:r>
            <w:t>48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_Toc31710 </w:instrText>
          </w:r>
          <w:r>
            <w:rPr>
              <w:rFonts w:ascii="宋体" w:hAnsi="宋体"/>
              <w:bCs/>
            </w:rPr>
            <w:fldChar w:fldCharType="separate"/>
          </w:r>
          <w:r>
            <w:rPr>
              <w:rFonts w:hint="eastAsia" w:hAnsi="宋体"/>
              <w:bCs/>
              <w:kern w:val="0"/>
              <w:szCs w:val="24"/>
            </w:rPr>
            <w:t>一、磋商要求</w:t>
          </w:r>
          <w:r>
            <w:tab/>
          </w:r>
          <w:r>
            <w:fldChar w:fldCharType="begin"/>
          </w:r>
          <w:r>
            <w:instrText xml:space="preserve"> PAGEREF _Toc31710 \h </w:instrText>
          </w:r>
          <w:r>
            <w:fldChar w:fldCharType="separate"/>
          </w:r>
          <w:r>
            <w:t>48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_Toc7097 </w:instrText>
          </w:r>
          <w:r>
            <w:rPr>
              <w:rFonts w:ascii="宋体" w:hAnsi="宋体"/>
              <w:bCs/>
            </w:rPr>
            <w:fldChar w:fldCharType="separate"/>
          </w:r>
          <w:r>
            <w:rPr>
              <w:rFonts w:hint="eastAsia" w:ascii="宋体" w:hAnsi="宋体"/>
              <w:bCs/>
              <w:kern w:val="0"/>
              <w:lang w:eastAsia="zh-CN"/>
            </w:rPr>
            <w:t>二、</w:t>
          </w:r>
          <w:r>
            <w:rPr>
              <w:rFonts w:hint="eastAsia" w:ascii="宋体" w:hAnsi="宋体"/>
              <w:bCs/>
              <w:kern w:val="0"/>
            </w:rPr>
            <w:t>报价说明</w:t>
          </w:r>
          <w:r>
            <w:tab/>
          </w:r>
          <w:r>
            <w:fldChar w:fldCharType="begin"/>
          </w:r>
          <w:r>
            <w:instrText xml:space="preserve"> PAGEREF _Toc7097 \h </w:instrText>
          </w:r>
          <w:r>
            <w:fldChar w:fldCharType="separate"/>
          </w:r>
          <w:r>
            <w:t>48</w:t>
          </w:r>
          <w:r>
            <w:fldChar w:fldCharType="end"/>
          </w:r>
          <w:r>
            <w:rPr>
              <w:rFonts w:ascii="宋体" w:hAnsi="宋体"/>
              <w:bCs/>
            </w:rPr>
            <w:fldChar w:fldCharType="end"/>
          </w:r>
        </w:p>
        <w:p>
          <w:pPr>
            <w:pStyle w:val="25"/>
            <w:tabs>
              <w:tab w:val="right" w:leader="dot" w:pos="9752"/>
            </w:tabs>
          </w:pPr>
          <w:r>
            <w:rPr>
              <w:rFonts w:ascii="宋体" w:hAnsi="宋体"/>
              <w:bCs/>
            </w:rPr>
            <w:fldChar w:fldCharType="begin"/>
          </w:r>
          <w:r>
            <w:rPr>
              <w:rFonts w:ascii="宋体" w:hAnsi="宋体"/>
              <w:bCs/>
            </w:rPr>
            <w:instrText xml:space="preserve"> HYPERLINK \l _Toc26702 </w:instrText>
          </w:r>
          <w:r>
            <w:rPr>
              <w:rFonts w:ascii="宋体" w:hAnsi="宋体"/>
              <w:bCs/>
            </w:rPr>
            <w:fldChar w:fldCharType="separate"/>
          </w:r>
          <w:r>
            <w:rPr>
              <w:rFonts w:hint="eastAsia" w:ascii="宋体" w:hAnsi="宋体"/>
              <w:bCs/>
              <w:kern w:val="0"/>
              <w:lang w:val="en-US" w:eastAsia="zh-CN"/>
            </w:rPr>
            <w:t>三、</w:t>
          </w:r>
          <w:r>
            <w:rPr>
              <w:rFonts w:hint="eastAsia" w:ascii="宋体" w:hAnsi="宋体" w:eastAsia="宋体"/>
              <w:bCs/>
              <w:kern w:val="0"/>
              <w:lang w:val="en-US" w:eastAsia="zh-CN"/>
            </w:rPr>
            <w:t>项目采购一览表</w:t>
          </w:r>
          <w:r>
            <w:tab/>
          </w:r>
          <w:r>
            <w:fldChar w:fldCharType="begin"/>
          </w:r>
          <w:r>
            <w:instrText xml:space="preserve"> PAGEREF _Toc26702 \h </w:instrText>
          </w:r>
          <w:r>
            <w:fldChar w:fldCharType="separate"/>
          </w:r>
          <w:r>
            <w:t>49</w:t>
          </w:r>
          <w:r>
            <w:fldChar w:fldCharType="end"/>
          </w:r>
          <w:r>
            <w:rPr>
              <w:rFonts w:ascii="宋体" w:hAnsi="宋体"/>
              <w:bCs/>
            </w:rPr>
            <w:fldChar w:fldCharType="end"/>
          </w:r>
        </w:p>
        <w:p>
          <w:pPr>
            <w:pStyle w:val="22"/>
            <w:spacing w:line="360" w:lineRule="auto"/>
            <w:jc w:val="center"/>
            <w:rPr>
              <w:rFonts w:ascii="宋体" w:hAnsi="宋体"/>
              <w:bCs/>
              <w:sz w:val="24"/>
            </w:rPr>
          </w:pPr>
          <w:r>
            <w:rPr>
              <w:rFonts w:ascii="宋体" w:hAnsi="宋体"/>
              <w:bCs/>
            </w:rPr>
            <w:fldChar w:fldCharType="end"/>
          </w:r>
        </w:p>
      </w:sdtContent>
    </w:sdt>
    <w:p>
      <w:pPr>
        <w:pStyle w:val="23"/>
        <w:spacing w:before="0" w:after="0" w:line="360" w:lineRule="auto"/>
        <w:jc w:val="both"/>
        <w:outlineLvl w:val="9"/>
        <w:rPr>
          <w:rFonts w:hint="eastAsia" w:ascii="宋体" w:hAnsi="宋体"/>
          <w:sz w:val="48"/>
          <w:szCs w:val="48"/>
        </w:rPr>
        <w:sectPr>
          <w:headerReference r:id="rId3" w:type="default"/>
          <w:pgSz w:w="11906" w:h="16838"/>
          <w:pgMar w:top="1440" w:right="1077" w:bottom="1440" w:left="1077" w:header="851" w:footer="992" w:gutter="0"/>
          <w:pgBorders w:display="notFirstPage" w:offsetFrom="page">
            <w:top w:val="none" w:sz="0" w:space="0"/>
            <w:left w:val="none" w:sz="0" w:space="0"/>
            <w:bottom w:val="none" w:sz="0" w:space="0"/>
            <w:right w:val="none" w:sz="0" w:space="0"/>
          </w:pgBorders>
          <w:pgNumType w:start="0"/>
          <w:cols w:space="720" w:num="1"/>
          <w:titlePg/>
          <w:docGrid w:linePitch="312" w:charSpace="0"/>
        </w:sectPr>
      </w:pPr>
      <w:bookmarkStart w:id="2" w:name="_Toc444715732"/>
      <w:bookmarkStart w:id="3" w:name="_Hlk503427406"/>
    </w:p>
    <w:p>
      <w:pPr>
        <w:pStyle w:val="23"/>
        <w:spacing w:before="0" w:after="0" w:line="360" w:lineRule="auto"/>
        <w:outlineLvl w:val="0"/>
        <w:rPr>
          <w:rFonts w:ascii="宋体" w:hAnsi="宋体"/>
          <w:sz w:val="48"/>
          <w:szCs w:val="48"/>
        </w:rPr>
      </w:pPr>
      <w:bookmarkStart w:id="4" w:name="_Toc7988"/>
      <w:bookmarkStart w:id="5" w:name="_Toc2728"/>
      <w:r>
        <w:rPr>
          <w:rFonts w:hint="eastAsia" w:ascii="宋体" w:hAnsi="宋体"/>
          <w:sz w:val="48"/>
          <w:szCs w:val="48"/>
        </w:rPr>
        <w:t>第一部分  磋商邀请</w:t>
      </w:r>
      <w:bookmarkEnd w:id="2"/>
      <w:bookmarkEnd w:id="4"/>
      <w:bookmarkEnd w:id="5"/>
    </w:p>
    <w:p>
      <w:pPr>
        <w:spacing w:line="360" w:lineRule="auto"/>
        <w:ind w:firstLine="480" w:firstLineChars="200"/>
        <w:rPr>
          <w:rFonts w:ascii="宋体" w:hAnsi="宋体" w:cs="宋体"/>
          <w:sz w:val="24"/>
          <w:lang w:val="zh-CN"/>
        </w:rPr>
      </w:pPr>
      <w:bookmarkStart w:id="6" w:name="_Hlk503427571"/>
      <w:r>
        <w:rPr>
          <w:rFonts w:hint="eastAsia" w:ascii="宋体" w:hAnsi="宋体" w:cs="宋体"/>
          <w:sz w:val="24"/>
          <w:lang w:val="zh-CN"/>
        </w:rPr>
        <w:t>青海世瀚工程项目管理有限公司（以下均简称“采购代理机构”）受</w:t>
      </w:r>
      <w:r>
        <w:rPr>
          <w:rFonts w:hint="eastAsia" w:ascii="宋体" w:hAnsi="宋体" w:cs="宋体"/>
          <w:sz w:val="24"/>
          <w:lang w:val="zh-CN" w:eastAsia="zh-CN"/>
        </w:rPr>
        <w:t>都兰县林业和草原局</w:t>
      </w:r>
      <w:r>
        <w:rPr>
          <w:rFonts w:hint="eastAsia" w:ascii="宋体" w:hAnsi="宋体" w:cs="宋体"/>
          <w:sz w:val="24"/>
          <w:lang w:val="zh-CN"/>
        </w:rPr>
        <w:t>（以下均简称“采购单位”）委托，拟对</w:t>
      </w:r>
      <w:r>
        <w:rPr>
          <w:rFonts w:hint="eastAsia" w:ascii="宋体" w:hAnsi="宋体" w:cs="宋体"/>
          <w:sz w:val="24"/>
          <w:lang w:val="zh-CN" w:eastAsia="zh-CN"/>
        </w:rPr>
        <w:t>都兰县2024年欠发达国有林场种苗基地建设项目第二次</w:t>
      </w:r>
      <w:r>
        <w:rPr>
          <w:rFonts w:hint="eastAsia" w:ascii="宋体" w:hAnsi="宋体" w:cs="宋体"/>
          <w:sz w:val="24"/>
          <w:lang w:val="zh-CN"/>
        </w:rPr>
        <w:t>（采购项目编号：青海世瀚竞磋（货物）202</w:t>
      </w:r>
      <w:r>
        <w:rPr>
          <w:rFonts w:hint="eastAsia" w:ascii="宋体" w:hAnsi="宋体" w:cs="宋体"/>
          <w:sz w:val="24"/>
          <w:lang w:val="en-US" w:eastAsia="zh-CN"/>
        </w:rPr>
        <w:t>4</w:t>
      </w:r>
      <w:r>
        <w:rPr>
          <w:rFonts w:hint="eastAsia" w:ascii="宋体" w:hAnsi="宋体" w:cs="宋体"/>
          <w:sz w:val="24"/>
          <w:lang w:val="zh-CN"/>
        </w:rPr>
        <w:t>-0</w:t>
      </w:r>
      <w:r>
        <w:rPr>
          <w:rFonts w:hint="eastAsia" w:ascii="宋体" w:hAnsi="宋体" w:cs="宋体"/>
          <w:sz w:val="24"/>
          <w:lang w:val="en-US" w:eastAsia="zh-CN"/>
        </w:rPr>
        <w:t>01-1</w:t>
      </w:r>
      <w:r>
        <w:rPr>
          <w:rFonts w:hint="eastAsia" w:ascii="宋体" w:hAnsi="宋体" w:cs="宋体"/>
          <w:sz w:val="24"/>
          <w:lang w:val="zh-CN"/>
        </w:rPr>
        <w:t>）进行国内竞争性磋商采购，现予以公告，欢迎潜在的供应商参加本次政府采购活动。</w:t>
      </w:r>
    </w:p>
    <w:tbl>
      <w:tblPr>
        <w:tblStyle w:val="33"/>
        <w:tblW w:w="9669"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944"/>
        <w:gridCol w:w="772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s="宋体"/>
                <w:sz w:val="24"/>
                <w:lang w:val="zh-CN"/>
              </w:rPr>
            </w:pPr>
            <w:r>
              <w:rPr>
                <w:rFonts w:hint="eastAsia" w:ascii="宋体" w:hAnsi="宋体" w:cs="宋体"/>
                <w:sz w:val="24"/>
                <w:lang w:val="zh-CN"/>
              </w:rPr>
              <w:t>采购项目编号</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hint="default" w:ascii="宋体" w:hAnsi="宋体" w:eastAsia="宋体" w:cs="宋体"/>
                <w:sz w:val="24"/>
                <w:lang w:val="en-US" w:eastAsia="zh-CN"/>
              </w:rPr>
            </w:pPr>
            <w:r>
              <w:rPr>
                <w:rFonts w:hint="eastAsia" w:ascii="宋体" w:hAnsi="宋体" w:cs="宋体"/>
                <w:sz w:val="24"/>
                <w:lang w:val="zh-CN"/>
              </w:rPr>
              <w:t>青海世瀚竞磋（货物）202</w:t>
            </w:r>
            <w:r>
              <w:rPr>
                <w:rFonts w:hint="eastAsia" w:ascii="宋体" w:hAnsi="宋体" w:cs="宋体"/>
                <w:sz w:val="24"/>
                <w:lang w:val="en-US" w:eastAsia="zh-CN"/>
              </w:rPr>
              <w:t>4</w:t>
            </w:r>
            <w:r>
              <w:rPr>
                <w:rFonts w:hint="eastAsia" w:ascii="宋体" w:hAnsi="宋体" w:cs="宋体"/>
                <w:sz w:val="24"/>
                <w:lang w:val="zh-CN"/>
              </w:rPr>
              <w:t>-0</w:t>
            </w:r>
            <w:r>
              <w:rPr>
                <w:rFonts w:hint="eastAsia" w:ascii="宋体" w:hAnsi="宋体" w:cs="宋体"/>
                <w:sz w:val="24"/>
                <w:lang w:val="en-US" w:eastAsia="zh-CN"/>
              </w:rPr>
              <w:t>01-1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采购项目名称</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ascii="宋体" w:hAnsi="宋体" w:cs="Tahoma"/>
                <w:sz w:val="24"/>
              </w:rPr>
            </w:pPr>
            <w:r>
              <w:rPr>
                <w:rFonts w:hint="eastAsia" w:ascii="宋体" w:hAnsi="宋体" w:cs="Tahoma"/>
                <w:sz w:val="24"/>
                <w:lang w:val="en-US" w:eastAsia="zh-CN"/>
              </w:rPr>
              <w:t>都兰县2024年欠发达国有林场种苗基地建设项目第二次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78"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采购方式</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ascii="宋体" w:hAnsi="宋体"/>
                <w:kern w:val="0"/>
                <w:sz w:val="24"/>
              </w:rPr>
            </w:pPr>
            <w:r>
              <w:rPr>
                <w:rFonts w:ascii="宋体" w:hAnsi="宋体"/>
                <w:kern w:val="0"/>
                <w:sz w:val="24"/>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采购预算额度</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ascii="宋体" w:hAnsi="宋体"/>
                <w:kern w:val="0"/>
                <w:sz w:val="24"/>
              </w:rPr>
            </w:pPr>
            <w:r>
              <w:rPr>
                <w:rFonts w:hint="eastAsia" w:ascii="宋体" w:hAnsi="宋体" w:cs="宋体"/>
                <w:sz w:val="24"/>
                <w:lang w:val="en-US" w:eastAsia="zh-CN"/>
              </w:rPr>
              <w:t>1260000</w:t>
            </w:r>
            <w:r>
              <w:rPr>
                <w:rFonts w:hint="eastAsia" w:ascii="宋体" w:hAnsi="宋体" w:cs="宋体"/>
                <w:sz w:val="24"/>
              </w:rPr>
              <w:t>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hint="default" w:ascii="宋体" w:hAnsi="宋体" w:eastAsia="宋体"/>
                <w:kern w:val="0"/>
                <w:sz w:val="24"/>
                <w:lang w:val="en-US" w:eastAsia="zh-CN"/>
              </w:rPr>
            </w:pPr>
            <w:r>
              <w:rPr>
                <w:rFonts w:hint="eastAsia" w:ascii="宋体" w:hAnsi="宋体"/>
                <w:kern w:val="0"/>
                <w:sz w:val="24"/>
                <w:lang w:val="en-US" w:eastAsia="zh-CN"/>
              </w:rPr>
              <w:t>最高限价</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hint="default" w:ascii="宋体" w:hAnsi="宋体" w:cs="宋体"/>
                <w:sz w:val="24"/>
                <w:lang w:val="en-US" w:eastAsia="zh-CN"/>
              </w:rPr>
            </w:pPr>
            <w:r>
              <w:rPr>
                <w:rFonts w:hint="eastAsia" w:ascii="宋体" w:hAnsi="宋体" w:cs="宋体"/>
                <w:sz w:val="24"/>
                <w:lang w:val="en-US" w:eastAsia="zh-CN"/>
              </w:rPr>
              <w:t>1199856.05元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项目分包个数</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rPr>
                <w:rFonts w:ascii="宋体" w:hAnsi="宋体"/>
                <w:kern w:val="0"/>
                <w:sz w:val="24"/>
              </w:rPr>
            </w:pPr>
            <w:r>
              <w:rPr>
                <w:rFonts w:hint="eastAsia" w:ascii="宋体" w:hAnsi="宋体"/>
                <w:kern w:val="0"/>
                <w:sz w:val="24"/>
              </w:rPr>
              <w:t>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944" w:type="dxa"/>
            <w:tcBorders>
              <w:top w:val="outset" w:color="000000" w:sz="6" w:space="0"/>
              <w:left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项目要求</w:t>
            </w:r>
          </w:p>
        </w:tc>
        <w:tc>
          <w:tcPr>
            <w:tcW w:w="7725" w:type="dxa"/>
            <w:tcBorders>
              <w:top w:val="outset" w:color="000000" w:sz="6" w:space="0"/>
              <w:left w:val="outset" w:color="000000" w:sz="6" w:space="0"/>
              <w:right w:val="outset" w:color="000000" w:sz="6" w:space="0"/>
            </w:tcBorders>
            <w:vAlign w:val="center"/>
          </w:tcPr>
          <w:p>
            <w:pPr>
              <w:pStyle w:val="90"/>
              <w:spacing w:line="360" w:lineRule="auto"/>
              <w:rPr>
                <w:rFonts w:ascii="宋体" w:hAnsi="宋体"/>
                <w:kern w:val="0"/>
                <w:sz w:val="24"/>
              </w:rPr>
            </w:pPr>
            <w:r>
              <w:rPr>
                <w:rFonts w:hint="eastAsia" w:ascii="宋体" w:hAnsi="宋体"/>
                <w:kern w:val="0"/>
                <w:sz w:val="24"/>
                <w:lang w:val="zh-CN"/>
              </w:rPr>
              <w:t>详见磋商文件“第六部分 采购项目要求及技术参数”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886"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cs="宋体"/>
                <w:sz w:val="24"/>
              </w:rPr>
              <w:t>供应商</w:t>
            </w:r>
            <w:r>
              <w:rPr>
                <w:rFonts w:hint="eastAsia" w:ascii="宋体" w:hAnsi="宋体"/>
                <w:kern w:val="0"/>
                <w:sz w:val="24"/>
              </w:rPr>
              <w:t>资格条件</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kern w:val="0"/>
                <w:sz w:val="24"/>
              </w:rPr>
            </w:pPr>
            <w:r>
              <w:rPr>
                <w:rFonts w:hint="eastAsia" w:ascii="宋体" w:hAnsi="宋体"/>
                <w:kern w:val="0"/>
                <w:sz w:val="24"/>
              </w:rPr>
              <w:t>1.符合《政府采购法》第22条条件，并提供下列材料：</w:t>
            </w:r>
          </w:p>
          <w:p>
            <w:pPr>
              <w:autoSpaceDE w:val="0"/>
              <w:autoSpaceDN w:val="0"/>
              <w:spacing w:line="360" w:lineRule="auto"/>
              <w:rPr>
                <w:rFonts w:ascii="宋体" w:hAnsi="宋体"/>
                <w:kern w:val="0"/>
                <w:sz w:val="24"/>
              </w:rPr>
            </w:pPr>
            <w:r>
              <w:rPr>
                <w:rFonts w:hint="eastAsia" w:ascii="宋体" w:hAnsi="宋体"/>
                <w:kern w:val="0"/>
                <w:sz w:val="24"/>
              </w:rPr>
              <w:t>&lt;1&gt;</w:t>
            </w:r>
            <w:r>
              <w:rPr>
                <w:rFonts w:hint="eastAsia" w:ascii="宋体" w:hAnsi="宋体"/>
                <w:kern w:val="0"/>
                <w:sz w:val="24"/>
                <w:lang w:val="en-US" w:eastAsia="zh-CN"/>
              </w:rPr>
              <w:t>供应商</w:t>
            </w:r>
            <w:r>
              <w:rPr>
                <w:rFonts w:hint="eastAsia" w:ascii="宋体" w:hAnsi="宋体"/>
                <w:kern w:val="0"/>
                <w:sz w:val="24"/>
              </w:rPr>
              <w:t>的营业执照等证明文件，自然人的身份证明。</w:t>
            </w:r>
          </w:p>
          <w:p>
            <w:pPr>
              <w:autoSpaceDE w:val="0"/>
              <w:autoSpaceDN w:val="0"/>
              <w:spacing w:line="360" w:lineRule="auto"/>
              <w:rPr>
                <w:rFonts w:ascii="宋体" w:hAnsi="宋体"/>
                <w:kern w:val="0"/>
                <w:sz w:val="24"/>
              </w:rPr>
            </w:pPr>
            <w:r>
              <w:rPr>
                <w:rFonts w:hint="eastAsia" w:ascii="宋体" w:hAnsi="宋体"/>
                <w:kern w:val="0"/>
                <w:sz w:val="24"/>
              </w:rPr>
              <w:t>&lt;2&gt;财务状况报告，依法缴纳税收和社会保障资金的相关材料。</w:t>
            </w:r>
          </w:p>
          <w:p>
            <w:pPr>
              <w:autoSpaceDE w:val="0"/>
              <w:autoSpaceDN w:val="0"/>
              <w:spacing w:line="360" w:lineRule="auto"/>
              <w:rPr>
                <w:rFonts w:ascii="宋体" w:hAnsi="宋体"/>
                <w:kern w:val="0"/>
                <w:sz w:val="24"/>
              </w:rPr>
            </w:pPr>
            <w:r>
              <w:rPr>
                <w:rFonts w:hint="eastAsia" w:ascii="宋体" w:hAnsi="宋体"/>
                <w:kern w:val="0"/>
                <w:sz w:val="24"/>
              </w:rPr>
              <w:t>&lt;3&gt;具备履行合同所必需的设备和专业技术能力的证明材料。</w:t>
            </w:r>
          </w:p>
          <w:p>
            <w:pPr>
              <w:autoSpaceDE w:val="0"/>
              <w:autoSpaceDN w:val="0"/>
              <w:spacing w:line="360" w:lineRule="auto"/>
              <w:rPr>
                <w:rFonts w:ascii="宋体" w:hAnsi="宋体"/>
                <w:kern w:val="0"/>
                <w:sz w:val="24"/>
              </w:rPr>
            </w:pPr>
            <w:r>
              <w:rPr>
                <w:rFonts w:hint="eastAsia" w:ascii="宋体" w:hAnsi="宋体"/>
                <w:kern w:val="0"/>
                <w:sz w:val="24"/>
              </w:rPr>
              <w:t>&lt;4&gt;参加政府采购活动前3年内在经营活动中没有重大违法记录书面声明。</w:t>
            </w:r>
          </w:p>
          <w:p>
            <w:pPr>
              <w:autoSpaceDE w:val="0"/>
              <w:autoSpaceDN w:val="0"/>
              <w:spacing w:line="360" w:lineRule="auto"/>
              <w:rPr>
                <w:rFonts w:ascii="宋体" w:hAnsi="宋体"/>
                <w:kern w:val="0"/>
                <w:sz w:val="24"/>
              </w:rPr>
            </w:pPr>
            <w:r>
              <w:rPr>
                <w:rFonts w:hint="eastAsia" w:ascii="宋体" w:hAnsi="宋体"/>
                <w:kern w:val="0"/>
                <w:sz w:val="24"/>
              </w:rPr>
              <w:t>&lt;5&gt;具备法律、行政法规规定的其他条件的证明材料 。</w:t>
            </w:r>
          </w:p>
          <w:p>
            <w:pPr>
              <w:autoSpaceDE w:val="0"/>
              <w:autoSpaceDN w:val="0"/>
              <w:spacing w:line="360" w:lineRule="auto"/>
              <w:rPr>
                <w:rFonts w:ascii="宋体" w:hAnsi="宋体"/>
                <w:kern w:val="0"/>
                <w:sz w:val="24"/>
              </w:rPr>
            </w:pPr>
            <w:r>
              <w:rPr>
                <w:rFonts w:hint="eastAsia" w:ascii="宋体" w:hAnsi="宋体"/>
                <w:kern w:val="0"/>
                <w:sz w:val="24"/>
              </w:rPr>
              <w:t>2. 单位负责人为同一人或者存在直接控股、管理关系的不同</w:t>
            </w:r>
            <w:r>
              <w:rPr>
                <w:rFonts w:hint="eastAsia" w:ascii="宋体" w:hAnsi="宋体"/>
                <w:kern w:val="0"/>
                <w:sz w:val="24"/>
                <w:lang w:val="en-US" w:eastAsia="zh-CN"/>
              </w:rPr>
              <w:t>供应商</w:t>
            </w:r>
            <w:r>
              <w:rPr>
                <w:rFonts w:hint="eastAsia" w:ascii="宋体" w:hAnsi="宋体"/>
                <w:kern w:val="0"/>
                <w:sz w:val="24"/>
              </w:rPr>
              <w:t>，不得参加同一合同项下的政府采购活动。否则，皆取消投标资格；</w:t>
            </w:r>
          </w:p>
          <w:p>
            <w:pPr>
              <w:autoSpaceDE w:val="0"/>
              <w:autoSpaceDN w:val="0"/>
              <w:spacing w:line="360" w:lineRule="auto"/>
              <w:rPr>
                <w:rFonts w:ascii="宋体" w:hAnsi="宋体"/>
                <w:kern w:val="0"/>
                <w:sz w:val="24"/>
              </w:rPr>
            </w:pPr>
            <w:r>
              <w:rPr>
                <w:rFonts w:hint="eastAsia" w:ascii="宋体" w:hAnsi="宋体"/>
                <w:kern w:val="0"/>
                <w:sz w:val="24"/>
              </w:rPr>
              <w:t xml:space="preserve">3. </w:t>
            </w:r>
            <w:r>
              <w:rPr>
                <w:rFonts w:hint="eastAsia" w:ascii="宋体" w:hAnsi="宋体"/>
                <w:kern w:val="0"/>
                <w:sz w:val="24"/>
                <w:lang w:val="en-US" w:eastAsia="zh-CN"/>
              </w:rPr>
              <w:t>供应商须具备林木种子生产经营许可证并在人员、设备、资金等方面具备相应的施工能力</w:t>
            </w:r>
            <w:r>
              <w:rPr>
                <w:rFonts w:hint="eastAsia" w:ascii="宋体" w:hAnsi="宋体"/>
                <w:kern w:val="0"/>
                <w:sz w:val="24"/>
              </w:rPr>
              <w:t>；</w:t>
            </w:r>
          </w:p>
          <w:p>
            <w:pPr>
              <w:autoSpaceDE w:val="0"/>
              <w:autoSpaceDN w:val="0"/>
              <w:spacing w:line="360" w:lineRule="auto"/>
              <w:rPr>
                <w:rFonts w:ascii="宋体" w:hAnsi="宋体"/>
                <w:kern w:val="0"/>
                <w:sz w:val="24"/>
              </w:rPr>
            </w:pPr>
            <w:r>
              <w:rPr>
                <w:rFonts w:hint="eastAsia" w:ascii="宋体" w:hAnsi="宋体"/>
                <w:kern w:val="0"/>
                <w:sz w:val="24"/>
              </w:rPr>
              <w:t>4.经信用中国（www.creditchina.gov.cn）、中国政府采购网（www.ccgp.gov.cn）等渠道查询后，列入失信被执行人、税收违法黑名单、政府采购严重违法失信行为记录名单的，取消投标资格(提供“信用中国”网站的查询截图</w:t>
            </w:r>
            <w:r>
              <w:rPr>
                <w:rFonts w:hint="eastAsia" w:ascii="宋体" w:hAnsi="宋体"/>
                <w:kern w:val="0"/>
                <w:sz w:val="24"/>
                <w:lang w:val="en-US" w:eastAsia="zh-CN"/>
              </w:rPr>
              <w:t>,</w:t>
            </w:r>
            <w:r>
              <w:rPr>
                <w:rFonts w:hint="eastAsia"/>
                <w:bCs/>
                <w:iCs/>
                <w:color w:val="auto"/>
                <w:sz w:val="24"/>
                <w:szCs w:val="22"/>
                <w:lang w:val="zh-CN"/>
              </w:rPr>
              <w:t>时间为投标截止时间前</w:t>
            </w:r>
            <w:r>
              <w:rPr>
                <w:rFonts w:hint="eastAsia"/>
                <w:bCs/>
                <w:iCs/>
                <w:color w:val="auto"/>
                <w:sz w:val="24"/>
                <w:szCs w:val="22"/>
                <w:lang w:val="en-US" w:eastAsia="zh-CN"/>
              </w:rPr>
              <w:t>20</w:t>
            </w:r>
            <w:r>
              <w:rPr>
                <w:rFonts w:hint="eastAsia"/>
                <w:bCs/>
                <w:iCs/>
                <w:color w:val="auto"/>
                <w:sz w:val="24"/>
                <w:szCs w:val="22"/>
                <w:lang w:val="zh-CN"/>
              </w:rPr>
              <w:t>天内</w:t>
            </w:r>
            <w:r>
              <w:rPr>
                <w:rFonts w:hint="eastAsia" w:ascii="宋体" w:hAnsi="宋体"/>
                <w:kern w:val="0"/>
                <w:sz w:val="24"/>
              </w:rPr>
              <w:t>)；</w:t>
            </w:r>
          </w:p>
          <w:p>
            <w:pPr>
              <w:autoSpaceDE w:val="0"/>
              <w:autoSpaceDN w:val="0"/>
              <w:spacing w:line="360" w:lineRule="auto"/>
              <w:rPr>
                <w:rFonts w:hint="eastAsia" w:ascii="宋体" w:hAnsi="宋体"/>
                <w:kern w:val="0"/>
                <w:sz w:val="24"/>
              </w:rPr>
            </w:pPr>
            <w:r>
              <w:rPr>
                <w:rFonts w:hint="eastAsia" w:ascii="宋体" w:hAnsi="宋体"/>
                <w:kern w:val="0"/>
                <w:sz w:val="24"/>
              </w:rPr>
              <w:t>5.本项目不接受</w:t>
            </w:r>
            <w:r>
              <w:rPr>
                <w:rFonts w:hint="eastAsia" w:ascii="宋体" w:hAnsi="宋体"/>
                <w:kern w:val="0"/>
                <w:sz w:val="24"/>
                <w:lang w:eastAsia="zh-CN"/>
              </w:rPr>
              <w:t>供应商</w:t>
            </w:r>
            <w:r>
              <w:rPr>
                <w:rFonts w:hint="eastAsia" w:ascii="宋体" w:hAnsi="宋体"/>
                <w:kern w:val="0"/>
                <w:sz w:val="24"/>
              </w:rPr>
              <w:t>以联合体方式进行投标。</w:t>
            </w:r>
          </w:p>
          <w:p>
            <w:pPr>
              <w:autoSpaceDE w:val="0"/>
              <w:autoSpaceDN w:val="0"/>
              <w:spacing w:line="360" w:lineRule="auto"/>
              <w:rPr>
                <w:rFonts w:hint="eastAsia" w:ascii="宋体" w:hAnsi="宋体"/>
                <w:kern w:val="0"/>
                <w:sz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该项目是为中小企业预留项目，中小企业声明函为资格审查项，需按资格审查册中的声明函格式填写，编入资格审查册中并单独上传一份至电子评标系统资格审查项，非中小型企业投标的视为无效投标。（本标的物所属行业为</w:t>
            </w:r>
            <w:r>
              <w:rPr>
                <w:rFonts w:hint="eastAsia" w:ascii="宋体" w:hAnsi="宋体" w:cs="宋体"/>
                <w:color w:val="auto"/>
                <w:sz w:val="24"/>
                <w:szCs w:val="24"/>
                <w:lang w:val="en-US" w:eastAsia="zh-CN"/>
              </w:rPr>
              <w:t>农林业</w:t>
            </w:r>
            <w:r>
              <w:rPr>
                <w:rFonts w:hint="eastAsia" w:ascii="宋体" w:hAnsi="宋体" w:cs="宋体"/>
                <w:color w:val="auto"/>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公告发布时间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kern w:val="0"/>
                <w:sz w:val="24"/>
              </w:rPr>
            </w:pPr>
            <w:r>
              <w:rPr>
                <w:rFonts w:hint="eastAsia" w:ascii="宋体" w:hAnsi="宋体"/>
                <w:kern w:val="0"/>
                <w:sz w:val="24"/>
              </w:rPr>
              <w:t>202</w:t>
            </w:r>
            <w:r>
              <w:rPr>
                <w:rFonts w:hint="eastAsia" w:ascii="宋体" w:hAnsi="宋体"/>
                <w:kern w:val="0"/>
                <w:sz w:val="24"/>
                <w:lang w:val="en-US" w:eastAsia="zh-CN"/>
              </w:rPr>
              <w:t>4</w:t>
            </w:r>
            <w:r>
              <w:rPr>
                <w:rFonts w:hint="eastAsia" w:ascii="宋体" w:hAnsi="宋体"/>
                <w:kern w:val="0"/>
                <w:sz w:val="24"/>
              </w:rPr>
              <w:t>年</w:t>
            </w:r>
            <w:r>
              <w:rPr>
                <w:rFonts w:hint="eastAsia" w:ascii="宋体" w:hAnsi="宋体"/>
                <w:kern w:val="0"/>
                <w:sz w:val="24"/>
                <w:lang w:val="en-US" w:eastAsia="zh-CN"/>
              </w:rPr>
              <w:t>03</w:t>
            </w:r>
            <w:r>
              <w:rPr>
                <w:rFonts w:hint="eastAsia" w:ascii="宋体" w:hAnsi="宋体"/>
                <w:kern w:val="0"/>
                <w:sz w:val="24"/>
              </w:rPr>
              <w:t>月</w:t>
            </w:r>
            <w:r>
              <w:rPr>
                <w:rFonts w:hint="eastAsia" w:ascii="宋体" w:hAnsi="宋体"/>
                <w:kern w:val="0"/>
                <w:sz w:val="24"/>
                <w:lang w:val="en-US" w:eastAsia="zh-CN"/>
              </w:rPr>
              <w:t>12</w:t>
            </w:r>
            <w:r>
              <w:rPr>
                <w:rFonts w:hint="eastAsia" w:ascii="宋体" w:hAnsi="宋体"/>
                <w:kern w:val="0"/>
                <w:sz w:val="24"/>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trHeight w:val="1002" w:hRule="atLeast"/>
          <w:jc w:val="center"/>
        </w:trPr>
        <w:tc>
          <w:tcPr>
            <w:tcW w:w="1944" w:type="dxa"/>
            <w:tcBorders>
              <w:top w:val="outset" w:color="000000" w:sz="6" w:space="0"/>
              <w:left w:val="outset" w:color="000000" w:sz="6" w:space="0"/>
              <w:bottom w:val="outset" w:color="000000" w:sz="6" w:space="0"/>
              <w:right w:val="outset" w:color="000000" w:sz="6" w:space="0"/>
            </w:tcBorders>
          </w:tcPr>
          <w:p>
            <w:pPr>
              <w:pStyle w:val="48"/>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文件发售起止时间</w:t>
            </w:r>
          </w:p>
        </w:tc>
        <w:tc>
          <w:tcPr>
            <w:tcW w:w="7725" w:type="dxa"/>
            <w:tcBorders>
              <w:top w:val="outset" w:color="000000" w:sz="6" w:space="0"/>
              <w:left w:val="outset" w:color="000000" w:sz="6" w:space="0"/>
              <w:bottom w:val="outset" w:color="000000" w:sz="6" w:space="0"/>
              <w:right w:val="outset" w:color="000000" w:sz="6" w:space="0"/>
            </w:tcBorders>
          </w:tcPr>
          <w:p>
            <w:pPr>
              <w:autoSpaceDE w:val="0"/>
              <w:autoSpaceDN w:val="0"/>
              <w:spacing w:line="360" w:lineRule="auto"/>
              <w:rPr>
                <w:rFonts w:ascii="宋体" w:hAnsi="宋体"/>
                <w:kern w:val="0"/>
                <w:sz w:val="24"/>
              </w:rPr>
            </w:pPr>
            <w:r>
              <w:rPr>
                <w:rFonts w:hint="eastAsia" w:ascii="宋体" w:hAnsi="宋体"/>
                <w:kern w:val="0"/>
                <w:sz w:val="24"/>
              </w:rPr>
              <w:t>自202</w:t>
            </w:r>
            <w:r>
              <w:rPr>
                <w:rFonts w:hint="eastAsia" w:ascii="宋体" w:hAnsi="宋体"/>
                <w:kern w:val="0"/>
                <w:sz w:val="24"/>
                <w:lang w:val="en-US" w:eastAsia="zh-CN"/>
              </w:rPr>
              <w:t>4</w:t>
            </w:r>
            <w:r>
              <w:rPr>
                <w:rFonts w:hint="eastAsia" w:ascii="宋体" w:hAnsi="宋体"/>
                <w:kern w:val="0"/>
                <w:sz w:val="24"/>
              </w:rPr>
              <w:t>年</w:t>
            </w:r>
            <w:r>
              <w:rPr>
                <w:rFonts w:hint="eastAsia" w:ascii="宋体" w:hAnsi="宋体"/>
                <w:kern w:val="0"/>
                <w:sz w:val="24"/>
                <w:lang w:val="en-US" w:eastAsia="zh-CN"/>
              </w:rPr>
              <w:t>03</w:t>
            </w:r>
            <w:r>
              <w:rPr>
                <w:rFonts w:hint="eastAsia" w:ascii="宋体" w:hAnsi="宋体"/>
                <w:kern w:val="0"/>
                <w:sz w:val="24"/>
              </w:rPr>
              <w:t>月</w:t>
            </w:r>
            <w:r>
              <w:rPr>
                <w:rFonts w:hint="eastAsia" w:ascii="宋体" w:hAnsi="宋体"/>
                <w:kern w:val="0"/>
                <w:sz w:val="24"/>
                <w:lang w:val="en-US" w:eastAsia="zh-CN"/>
              </w:rPr>
              <w:t>13</w:t>
            </w:r>
            <w:r>
              <w:rPr>
                <w:rFonts w:hint="eastAsia" w:ascii="宋体" w:hAnsi="宋体"/>
                <w:kern w:val="0"/>
                <w:sz w:val="24"/>
              </w:rPr>
              <w:t>日至202</w:t>
            </w:r>
            <w:r>
              <w:rPr>
                <w:rFonts w:hint="eastAsia" w:ascii="宋体" w:hAnsi="宋体"/>
                <w:kern w:val="0"/>
                <w:sz w:val="24"/>
                <w:lang w:val="en-US" w:eastAsia="zh-CN"/>
              </w:rPr>
              <w:t>4</w:t>
            </w:r>
            <w:r>
              <w:rPr>
                <w:rFonts w:hint="eastAsia" w:ascii="宋体" w:hAnsi="宋体"/>
                <w:kern w:val="0"/>
                <w:sz w:val="24"/>
              </w:rPr>
              <w:t>年</w:t>
            </w:r>
            <w:r>
              <w:rPr>
                <w:rFonts w:hint="eastAsia" w:ascii="宋体" w:hAnsi="宋体"/>
                <w:kern w:val="0"/>
                <w:sz w:val="24"/>
                <w:lang w:val="en-US" w:eastAsia="zh-CN"/>
              </w:rPr>
              <w:t>03</w:t>
            </w:r>
            <w:r>
              <w:rPr>
                <w:rFonts w:hint="eastAsia" w:ascii="宋体" w:hAnsi="宋体"/>
                <w:kern w:val="0"/>
                <w:sz w:val="24"/>
              </w:rPr>
              <w:t>月</w:t>
            </w:r>
            <w:r>
              <w:rPr>
                <w:rFonts w:hint="eastAsia" w:ascii="宋体" w:hAnsi="宋体"/>
                <w:kern w:val="0"/>
                <w:sz w:val="24"/>
                <w:lang w:val="en-US" w:eastAsia="zh-CN"/>
              </w:rPr>
              <w:t>19</w:t>
            </w:r>
            <w:r>
              <w:rPr>
                <w:rFonts w:hint="eastAsia" w:ascii="宋体" w:hAnsi="宋体"/>
                <w:kern w:val="0"/>
                <w:sz w:val="24"/>
              </w:rPr>
              <w:t>日（上午0:00-12:00，下午12:</w:t>
            </w:r>
            <w:r>
              <w:rPr>
                <w:rFonts w:ascii="宋体" w:hAnsi="宋体"/>
                <w:kern w:val="0"/>
                <w:sz w:val="24"/>
              </w:rPr>
              <w:t>0</w:t>
            </w:r>
            <w:r>
              <w:rPr>
                <w:rFonts w:hint="eastAsia" w:ascii="宋体" w:hAnsi="宋体"/>
                <w:kern w:val="0"/>
                <w:sz w:val="24"/>
              </w:rPr>
              <w:t>0-23:59休息日、节假日除外）。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655"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磋商文件发售方式</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kern w:val="0"/>
                <w:sz w:val="24"/>
              </w:rPr>
            </w:pPr>
            <w:r>
              <w:rPr>
                <w:rFonts w:hint="eastAsia" w:ascii="宋体" w:hAnsi="宋体"/>
                <w:kern w:val="0"/>
                <w:sz w:val="24"/>
              </w:rPr>
              <w:t>政采云线上报名，</w:t>
            </w:r>
            <w:r>
              <w:rPr>
                <w:rFonts w:ascii="宋体" w:hAnsi="宋体"/>
                <w:kern w:val="0"/>
                <w:sz w:val="24"/>
              </w:rPr>
              <w:t>供应商登录政采云平台</w:t>
            </w:r>
            <w:r>
              <w:rPr>
                <w:rFonts w:ascii="宋体" w:hAnsi="宋体"/>
                <w:kern w:val="0"/>
                <w:sz w:val="24"/>
              </w:rPr>
              <w:fldChar w:fldCharType="begin"/>
            </w:r>
            <w:r>
              <w:rPr>
                <w:rFonts w:ascii="宋体" w:hAnsi="宋体"/>
                <w:kern w:val="0"/>
                <w:sz w:val="24"/>
              </w:rPr>
              <w:instrText xml:space="preserve"> INCLUDEPICTURE "C:\\Users\\GY\\AppData\\Roaming\\Tencent\\QQTempSys\\%W@GJ$ACOF(TYDYECOKVDYB.png" \* MERGEFORMATINET </w:instrText>
            </w:r>
            <w:r>
              <w:rPr>
                <w:rFonts w:ascii="宋体" w:hAnsi="宋体"/>
                <w:kern w:val="0"/>
                <w:sz w:val="24"/>
              </w:rPr>
              <w:fldChar w:fldCharType="end"/>
            </w:r>
            <w:r>
              <w:rPr>
                <w:rFonts w:ascii="宋体" w:hAnsi="宋体"/>
                <w:kern w:val="0"/>
                <w:sz w:val="24"/>
              </w:rPr>
              <w:t>https://www.zcygov.cn/在线申请获取采购文件（进入“项目采购”应用，在获取采购文件菜单中选择项目，申请获取采购文件）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磋商文件售价</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kern w:val="0"/>
                <w:sz w:val="24"/>
              </w:rPr>
            </w:pPr>
            <w:r>
              <w:rPr>
                <w:rFonts w:hint="eastAsia" w:ascii="宋体" w:hAnsi="宋体"/>
                <w:kern w:val="0"/>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磋商文件发售地点</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kern w:val="0"/>
                <w:sz w:val="24"/>
              </w:rPr>
            </w:pPr>
            <w:r>
              <w:rPr>
                <w:rFonts w:ascii="宋体" w:hAnsi="宋体"/>
                <w:kern w:val="0"/>
                <w:sz w:val="24"/>
              </w:rPr>
              <w:t>线上获取通过政采云平台（</w:t>
            </w:r>
            <w:r>
              <w:rPr>
                <w:rFonts w:ascii="宋体" w:hAnsi="宋体"/>
                <w:kern w:val="0"/>
                <w:sz w:val="24"/>
              </w:rPr>
              <w:drawing>
                <wp:inline distT="0" distB="0" distL="0" distR="0">
                  <wp:extent cx="189865" cy="146685"/>
                  <wp:effectExtent l="0" t="0" r="635" b="571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ascii="宋体" w:hAnsi="宋体"/>
                <w:kern w:val="0"/>
                <w:sz w:val="24"/>
              </w:rPr>
              <w:t>www.zcygov.cn）获取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36"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磋商截止时间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b/>
                <w:bCs/>
                <w:kern w:val="0"/>
                <w:sz w:val="24"/>
              </w:rPr>
            </w:pPr>
            <w:r>
              <w:rPr>
                <w:rFonts w:hint="eastAsia" w:ascii="宋体" w:hAnsi="宋体"/>
                <w:b/>
                <w:bCs/>
                <w:kern w:val="0"/>
                <w:sz w:val="24"/>
              </w:rPr>
              <w:t>202</w:t>
            </w:r>
            <w:r>
              <w:rPr>
                <w:rFonts w:hint="eastAsia" w:ascii="宋体" w:hAnsi="宋体"/>
                <w:b/>
                <w:bCs/>
                <w:kern w:val="0"/>
                <w:sz w:val="24"/>
                <w:lang w:val="en-US" w:eastAsia="zh-CN"/>
              </w:rPr>
              <w:t>4</w:t>
            </w:r>
            <w:r>
              <w:rPr>
                <w:rFonts w:hint="eastAsia" w:ascii="宋体" w:hAnsi="宋体"/>
                <w:b/>
                <w:bCs/>
                <w:kern w:val="0"/>
                <w:sz w:val="24"/>
              </w:rPr>
              <w:t>年</w:t>
            </w:r>
            <w:r>
              <w:rPr>
                <w:rFonts w:hint="eastAsia" w:ascii="宋体" w:hAnsi="宋体"/>
                <w:b/>
                <w:bCs/>
                <w:kern w:val="0"/>
                <w:sz w:val="24"/>
                <w:lang w:val="en-US" w:eastAsia="zh-CN"/>
              </w:rPr>
              <w:t>03</w:t>
            </w:r>
            <w:r>
              <w:rPr>
                <w:rFonts w:hint="eastAsia" w:ascii="宋体" w:hAnsi="宋体"/>
                <w:b/>
                <w:bCs/>
                <w:kern w:val="0"/>
                <w:sz w:val="24"/>
              </w:rPr>
              <w:t>月</w:t>
            </w:r>
            <w:r>
              <w:rPr>
                <w:rFonts w:hint="eastAsia" w:ascii="宋体" w:hAnsi="宋体"/>
                <w:b/>
                <w:bCs/>
                <w:kern w:val="0"/>
                <w:sz w:val="24"/>
                <w:lang w:val="en-US" w:eastAsia="zh-CN"/>
              </w:rPr>
              <w:t>22</w:t>
            </w:r>
            <w:r>
              <w:rPr>
                <w:rFonts w:hint="eastAsia" w:ascii="宋体" w:hAnsi="宋体"/>
                <w:b/>
                <w:bCs/>
                <w:kern w:val="0"/>
                <w:sz w:val="24"/>
              </w:rPr>
              <w:t>日</w:t>
            </w:r>
            <w:r>
              <w:rPr>
                <w:rFonts w:hint="eastAsia" w:ascii="宋体" w:hAnsi="宋体"/>
                <w:b/>
                <w:bCs/>
                <w:kern w:val="0"/>
                <w:sz w:val="24"/>
                <w:lang w:val="en-US" w:eastAsia="zh-CN"/>
              </w:rPr>
              <w:t>上午10</w:t>
            </w:r>
            <w:r>
              <w:rPr>
                <w:rFonts w:hint="eastAsia" w:ascii="宋体" w:hAnsi="宋体"/>
                <w:b/>
                <w:bCs/>
                <w:kern w:val="0"/>
                <w:sz w:val="24"/>
              </w:rPr>
              <w:t>:</w:t>
            </w:r>
            <w:r>
              <w:rPr>
                <w:rFonts w:hint="eastAsia" w:ascii="宋体" w:hAnsi="宋体"/>
                <w:b/>
                <w:bCs/>
                <w:kern w:val="0"/>
                <w:sz w:val="24"/>
                <w:lang w:val="en-US" w:eastAsia="zh-CN"/>
              </w:rPr>
              <w:t>00</w:t>
            </w:r>
            <w:r>
              <w:rPr>
                <w:rFonts w:hint="eastAsia" w:ascii="宋体" w:hAnsi="宋体"/>
                <w:b/>
                <w:bCs/>
                <w:kern w:val="0"/>
                <w:sz w:val="24"/>
              </w:rPr>
              <w:t>（北京时间）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磋商时间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b/>
                <w:bCs/>
                <w:kern w:val="0"/>
                <w:sz w:val="24"/>
              </w:rPr>
            </w:pPr>
            <w:r>
              <w:rPr>
                <w:rFonts w:hint="eastAsia" w:ascii="宋体" w:hAnsi="宋体"/>
                <w:b/>
                <w:bCs/>
                <w:kern w:val="0"/>
                <w:sz w:val="24"/>
              </w:rPr>
              <w:t>202</w:t>
            </w:r>
            <w:r>
              <w:rPr>
                <w:rFonts w:hint="eastAsia" w:ascii="宋体" w:hAnsi="宋体"/>
                <w:b/>
                <w:bCs/>
                <w:kern w:val="0"/>
                <w:sz w:val="24"/>
                <w:lang w:val="en-US" w:eastAsia="zh-CN"/>
              </w:rPr>
              <w:t>4</w:t>
            </w:r>
            <w:r>
              <w:rPr>
                <w:rFonts w:hint="eastAsia" w:ascii="宋体" w:hAnsi="宋体"/>
                <w:b/>
                <w:bCs/>
                <w:kern w:val="0"/>
                <w:sz w:val="24"/>
              </w:rPr>
              <w:t>年</w:t>
            </w:r>
            <w:r>
              <w:rPr>
                <w:rFonts w:hint="eastAsia" w:ascii="宋体" w:hAnsi="宋体"/>
                <w:b/>
                <w:bCs/>
                <w:kern w:val="0"/>
                <w:sz w:val="24"/>
                <w:lang w:val="en-US" w:eastAsia="zh-CN"/>
              </w:rPr>
              <w:t>03</w:t>
            </w:r>
            <w:r>
              <w:rPr>
                <w:rFonts w:hint="eastAsia" w:ascii="宋体" w:hAnsi="宋体"/>
                <w:b/>
                <w:bCs/>
                <w:kern w:val="0"/>
                <w:sz w:val="24"/>
              </w:rPr>
              <w:t>月</w:t>
            </w:r>
            <w:r>
              <w:rPr>
                <w:rFonts w:hint="eastAsia" w:ascii="宋体" w:hAnsi="宋体"/>
                <w:b/>
                <w:bCs/>
                <w:kern w:val="0"/>
                <w:sz w:val="24"/>
                <w:lang w:val="en-US" w:eastAsia="zh-CN"/>
              </w:rPr>
              <w:t>22</w:t>
            </w:r>
            <w:r>
              <w:rPr>
                <w:rFonts w:hint="eastAsia" w:ascii="宋体" w:hAnsi="宋体"/>
                <w:b/>
                <w:bCs/>
                <w:kern w:val="0"/>
                <w:sz w:val="24"/>
              </w:rPr>
              <w:t>日</w:t>
            </w:r>
            <w:r>
              <w:rPr>
                <w:rFonts w:hint="eastAsia" w:ascii="宋体" w:hAnsi="宋体"/>
                <w:b/>
                <w:bCs/>
                <w:kern w:val="0"/>
                <w:sz w:val="24"/>
                <w:lang w:eastAsia="zh-CN"/>
              </w:rPr>
              <w:t>上午</w:t>
            </w:r>
            <w:r>
              <w:rPr>
                <w:rFonts w:hint="eastAsia" w:ascii="宋体" w:hAnsi="宋体"/>
                <w:b/>
                <w:bCs/>
                <w:kern w:val="0"/>
                <w:sz w:val="24"/>
                <w:lang w:val="en-US" w:eastAsia="zh-CN"/>
              </w:rPr>
              <w:t>10</w:t>
            </w:r>
            <w:r>
              <w:rPr>
                <w:rFonts w:hint="eastAsia" w:ascii="宋体" w:hAnsi="宋体"/>
                <w:b/>
                <w:bCs/>
                <w:kern w:val="0"/>
                <w:sz w:val="24"/>
              </w:rPr>
              <w:t>:</w:t>
            </w:r>
            <w:r>
              <w:rPr>
                <w:rFonts w:hint="eastAsia" w:ascii="宋体" w:hAnsi="宋体"/>
                <w:b/>
                <w:bCs/>
                <w:kern w:val="0"/>
                <w:sz w:val="24"/>
                <w:lang w:val="en-US" w:eastAsia="zh-CN"/>
              </w:rPr>
              <w:t>00</w:t>
            </w:r>
            <w:r>
              <w:rPr>
                <w:rFonts w:hint="eastAsia" w:ascii="宋体" w:hAnsi="宋体"/>
                <w:b/>
                <w:bCs/>
                <w:kern w:val="0"/>
                <w:sz w:val="24"/>
              </w:rPr>
              <w:t>（北京时间）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01"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磋商及磋商地点</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hint="eastAsia" w:ascii="宋体" w:hAnsi="宋体" w:eastAsia="宋体"/>
                <w:kern w:val="0"/>
                <w:sz w:val="24"/>
                <w:lang w:eastAsia="zh-CN"/>
              </w:rPr>
            </w:pPr>
            <w:r>
              <w:rPr>
                <w:rFonts w:ascii="宋体" w:hAnsi="宋体"/>
                <w:kern w:val="0"/>
                <w:sz w:val="24"/>
              </w:rPr>
              <w:t>政采云平台（</w:t>
            </w:r>
            <w:r>
              <w:rPr>
                <w:rFonts w:ascii="宋体" w:hAnsi="宋体"/>
                <w:kern w:val="0"/>
                <w:sz w:val="24"/>
              </w:rPr>
              <w:drawing>
                <wp:inline distT="0" distB="0" distL="0" distR="0">
                  <wp:extent cx="189865" cy="146685"/>
                  <wp:effectExtent l="0" t="0" r="635" b="5715"/>
                  <wp:docPr id="4"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GJ$ACOF(TYDYECOKVD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ascii="宋体" w:hAnsi="宋体"/>
                <w:kern w:val="0"/>
                <w:sz w:val="24"/>
              </w:rPr>
              <w:t>www.zcygov.cn）</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00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采购</w:t>
            </w:r>
            <w:r>
              <w:rPr>
                <w:rFonts w:hint="eastAsia" w:ascii="宋体" w:hAnsi="宋体"/>
                <w:kern w:val="0"/>
                <w:sz w:val="24"/>
                <w:lang w:val="en-US" w:eastAsia="zh-CN"/>
              </w:rPr>
              <w:t>人</w:t>
            </w:r>
            <w:r>
              <w:rPr>
                <w:rFonts w:hint="eastAsia" w:ascii="宋体" w:hAnsi="宋体"/>
                <w:kern w:val="0"/>
                <w:sz w:val="24"/>
              </w:rPr>
              <w:t>及联系电话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hint="eastAsia" w:ascii="宋体" w:hAnsi="宋体" w:eastAsia="宋体"/>
                <w:kern w:val="0"/>
                <w:sz w:val="24"/>
                <w:lang w:eastAsia="zh-CN"/>
              </w:rPr>
            </w:pPr>
            <w:r>
              <w:rPr>
                <w:rFonts w:ascii="宋体" w:hAnsi="宋体"/>
                <w:kern w:val="0"/>
                <w:sz w:val="24"/>
              </w:rPr>
              <w:t>采</w:t>
            </w:r>
            <w:r>
              <w:rPr>
                <w:rFonts w:hint="eastAsia" w:ascii="宋体" w:hAnsi="宋体"/>
                <w:kern w:val="0"/>
                <w:sz w:val="24"/>
              </w:rPr>
              <w:t xml:space="preserve"> </w:t>
            </w:r>
            <w:r>
              <w:rPr>
                <w:rFonts w:ascii="宋体" w:hAnsi="宋体"/>
                <w:kern w:val="0"/>
                <w:sz w:val="24"/>
              </w:rPr>
              <w:t>购</w:t>
            </w:r>
            <w:r>
              <w:rPr>
                <w:rFonts w:hint="eastAsia" w:ascii="宋体" w:hAnsi="宋体"/>
                <w:kern w:val="0"/>
                <w:sz w:val="24"/>
              </w:rPr>
              <w:t xml:space="preserve"> </w:t>
            </w:r>
            <w:r>
              <w:rPr>
                <w:rFonts w:ascii="宋体" w:hAnsi="宋体"/>
                <w:kern w:val="0"/>
                <w:sz w:val="24"/>
              </w:rPr>
              <w:t>人</w:t>
            </w:r>
            <w:r>
              <w:rPr>
                <w:rFonts w:hint="eastAsia" w:ascii="宋体" w:hAnsi="宋体"/>
                <w:kern w:val="0"/>
                <w:sz w:val="24"/>
              </w:rPr>
              <w:t>：</w:t>
            </w:r>
            <w:r>
              <w:rPr>
                <w:rFonts w:hint="eastAsia" w:ascii="宋体" w:hAnsi="宋体"/>
                <w:kern w:val="0"/>
                <w:sz w:val="24"/>
                <w:lang w:val="en-US" w:eastAsia="zh-CN"/>
              </w:rPr>
              <w:t>都兰县林业和草原局</w:t>
            </w:r>
          </w:p>
          <w:p>
            <w:pPr>
              <w:autoSpaceDE w:val="0"/>
              <w:autoSpaceDN w:val="0"/>
              <w:spacing w:line="360" w:lineRule="auto"/>
              <w:rPr>
                <w:rFonts w:hint="eastAsia" w:ascii="宋体" w:hAnsi="宋体" w:eastAsia="宋体"/>
                <w:kern w:val="0"/>
                <w:sz w:val="24"/>
                <w:lang w:val="en-US" w:eastAsia="zh-CN"/>
              </w:rPr>
            </w:pPr>
            <w:r>
              <w:rPr>
                <w:rFonts w:hint="eastAsia" w:ascii="宋体" w:hAnsi="宋体"/>
                <w:kern w:val="0"/>
                <w:sz w:val="24"/>
              </w:rPr>
              <w:t>联 系 人：胡</w:t>
            </w:r>
            <w:r>
              <w:rPr>
                <w:rFonts w:hint="eastAsia" w:ascii="宋体" w:hAnsi="宋体"/>
                <w:kern w:val="0"/>
                <w:sz w:val="24"/>
                <w:lang w:val="en-US" w:eastAsia="zh-CN"/>
              </w:rPr>
              <w:t>先生</w:t>
            </w:r>
          </w:p>
          <w:p>
            <w:pPr>
              <w:autoSpaceDE w:val="0"/>
              <w:autoSpaceDN w:val="0"/>
              <w:spacing w:line="360" w:lineRule="auto"/>
              <w:rPr>
                <w:rFonts w:hint="default" w:ascii="宋体" w:hAnsi="宋体"/>
                <w:kern w:val="0"/>
                <w:sz w:val="24"/>
                <w:lang w:val="en-US"/>
              </w:rPr>
            </w:pPr>
            <w:r>
              <w:rPr>
                <w:rFonts w:ascii="宋体" w:hAnsi="宋体"/>
                <w:kern w:val="0"/>
                <w:sz w:val="24"/>
              </w:rPr>
              <w:t>联系电话</w:t>
            </w:r>
            <w:r>
              <w:rPr>
                <w:rFonts w:hint="eastAsia" w:ascii="宋体" w:hAnsi="宋体"/>
                <w:kern w:val="0"/>
                <w:sz w:val="24"/>
              </w:rPr>
              <w:t>：0977-8231482</w:t>
            </w:r>
          </w:p>
          <w:p>
            <w:pPr>
              <w:pStyle w:val="48"/>
              <w:autoSpaceDE w:val="0"/>
              <w:autoSpaceDN w:val="0"/>
              <w:spacing w:line="360" w:lineRule="auto"/>
              <w:jc w:val="left"/>
              <w:rPr>
                <w:rFonts w:hint="eastAsia" w:ascii="宋体" w:hAnsi="宋体" w:eastAsia="宋体"/>
                <w:kern w:val="0"/>
                <w:sz w:val="24"/>
                <w:lang w:eastAsia="zh-CN"/>
              </w:rPr>
            </w:pPr>
            <w:r>
              <w:rPr>
                <w:rFonts w:ascii="宋体" w:hAnsi="宋体"/>
                <w:kern w:val="0"/>
                <w:sz w:val="24"/>
              </w:rPr>
              <w:t>联系地址</w:t>
            </w:r>
            <w:r>
              <w:rPr>
                <w:rFonts w:hint="eastAsia" w:ascii="宋体" w:hAnsi="宋体"/>
                <w:kern w:val="0"/>
                <w:sz w:val="24"/>
              </w:rPr>
              <w:t>：都兰县察汗乌苏镇南兴街</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522"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采购代理机构及联系人电话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spacing w:line="360" w:lineRule="auto"/>
              <w:rPr>
                <w:rFonts w:hint="eastAsia" w:ascii="宋体" w:hAnsi="宋体" w:eastAsia="宋体"/>
                <w:kern w:val="0"/>
                <w:sz w:val="24"/>
                <w:lang w:eastAsia="zh-CN"/>
              </w:rPr>
            </w:pPr>
            <w:r>
              <w:rPr>
                <w:rFonts w:hint="eastAsia" w:ascii="宋体" w:hAnsi="宋体"/>
                <w:kern w:val="0"/>
                <w:sz w:val="24"/>
              </w:rPr>
              <w:t>采购代理机构：</w:t>
            </w:r>
            <w:r>
              <w:rPr>
                <w:rFonts w:hint="eastAsia" w:ascii="宋体" w:hAnsi="宋体"/>
                <w:kern w:val="0"/>
                <w:sz w:val="24"/>
                <w:lang w:eastAsia="zh-CN"/>
              </w:rPr>
              <w:t>青海世瀚工程项目管理有限公司</w:t>
            </w:r>
          </w:p>
          <w:p>
            <w:pPr>
              <w:spacing w:line="360" w:lineRule="auto"/>
              <w:rPr>
                <w:rFonts w:hint="default" w:ascii="宋体" w:hAnsi="宋体"/>
                <w:kern w:val="0"/>
                <w:sz w:val="24"/>
                <w:lang w:val="en-US"/>
              </w:rPr>
            </w:pPr>
            <w:r>
              <w:rPr>
                <w:rFonts w:hint="eastAsia" w:ascii="宋体" w:hAnsi="宋体"/>
                <w:kern w:val="0"/>
                <w:sz w:val="24"/>
              </w:rPr>
              <w:t>联   系   人：</w:t>
            </w:r>
            <w:r>
              <w:rPr>
                <w:rFonts w:hint="eastAsia" w:ascii="宋体" w:hAnsi="宋体"/>
                <w:kern w:val="0"/>
                <w:sz w:val="24"/>
                <w:lang w:val="en-US" w:eastAsia="zh-CN"/>
              </w:rPr>
              <w:t>索女士</w:t>
            </w:r>
          </w:p>
          <w:p>
            <w:pPr>
              <w:spacing w:line="360" w:lineRule="auto"/>
              <w:rPr>
                <w:rFonts w:hint="default" w:ascii="宋体" w:hAnsi="宋体" w:eastAsia="宋体"/>
                <w:kern w:val="0"/>
                <w:sz w:val="24"/>
                <w:lang w:val="en-US" w:eastAsia="zh-CN"/>
              </w:rPr>
            </w:pPr>
            <w:r>
              <w:rPr>
                <w:rFonts w:hint="eastAsia" w:ascii="宋体" w:hAnsi="宋体"/>
                <w:kern w:val="0"/>
                <w:sz w:val="24"/>
              </w:rPr>
              <w:t>联 系  电 话：</w:t>
            </w:r>
            <w:r>
              <w:rPr>
                <w:rFonts w:hint="eastAsia" w:ascii="宋体" w:hAnsi="宋体"/>
                <w:kern w:val="0"/>
                <w:sz w:val="24"/>
                <w:lang w:val="zh-CN"/>
              </w:rPr>
              <w:t>0971-</w:t>
            </w:r>
            <w:r>
              <w:rPr>
                <w:rFonts w:hint="eastAsia" w:ascii="宋体" w:hAnsi="宋体"/>
                <w:kern w:val="0"/>
                <w:sz w:val="24"/>
                <w:lang w:val="en-US" w:eastAsia="zh-CN"/>
              </w:rPr>
              <w:t>3587131</w:t>
            </w:r>
          </w:p>
          <w:p>
            <w:pPr>
              <w:spacing w:line="360" w:lineRule="auto"/>
              <w:rPr>
                <w:rFonts w:hint="default" w:ascii="宋体" w:hAnsi="宋体" w:eastAsia="宋体"/>
                <w:kern w:val="0"/>
                <w:sz w:val="24"/>
                <w:lang w:val="en-US" w:eastAsia="zh-CN"/>
              </w:rPr>
            </w:pPr>
            <w:r>
              <w:rPr>
                <w:rFonts w:hint="eastAsia" w:ascii="宋体" w:hAnsi="宋体"/>
                <w:kern w:val="0"/>
                <w:sz w:val="24"/>
              </w:rPr>
              <w:t>邮        箱：</w:t>
            </w:r>
            <w:r>
              <w:rPr>
                <w:rFonts w:hint="eastAsia" w:ascii="宋体" w:hAnsi="宋体"/>
                <w:kern w:val="0"/>
                <w:sz w:val="24"/>
                <w:lang w:val="en-US" w:eastAsia="zh-CN"/>
              </w:rPr>
              <w:t>2385796038@qq.com</w:t>
            </w:r>
          </w:p>
          <w:p>
            <w:pPr>
              <w:spacing w:line="360" w:lineRule="auto"/>
              <w:rPr>
                <w:rFonts w:ascii="宋体" w:hAnsi="宋体"/>
                <w:kern w:val="0"/>
                <w:sz w:val="24"/>
              </w:rPr>
            </w:pPr>
            <w:r>
              <w:rPr>
                <w:rFonts w:hint="eastAsia" w:ascii="宋体" w:hAnsi="宋体"/>
                <w:kern w:val="0"/>
                <w:sz w:val="24"/>
              </w:rPr>
              <w:t>联 系  地 址：</w:t>
            </w:r>
            <w:r>
              <w:rPr>
                <w:rFonts w:hint="eastAsia" w:ascii="宋体" w:hAnsi="宋体"/>
                <w:kern w:val="0"/>
                <w:sz w:val="24"/>
                <w:lang w:val="zh-CN" w:eastAsia="zh-CN"/>
              </w:rPr>
              <w:t>西宁市</w:t>
            </w:r>
            <w:r>
              <w:rPr>
                <w:rFonts w:hint="eastAsia" w:ascii="宋体" w:hAnsi="宋体"/>
                <w:kern w:val="0"/>
                <w:sz w:val="24"/>
                <w:lang w:val="en-US" w:eastAsia="zh-CN"/>
              </w:rPr>
              <w:t>城北区柴达木路351号丽枫酒店西钢店9楼901室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代理机构开户银行</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eastAsia="zh-CN"/>
              </w:rPr>
              <w:t>招商银行股份有限公司西宁分行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9"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收款人</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青海世瀚工程项目管理有限公司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kern w:val="0"/>
                <w:sz w:val="24"/>
              </w:rPr>
            </w:pPr>
            <w:r>
              <w:rPr>
                <w:rFonts w:hint="eastAsia" w:ascii="宋体" w:hAnsi="宋体"/>
                <w:kern w:val="0"/>
                <w:sz w:val="24"/>
              </w:rPr>
              <w:t>银行账号</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972901536210802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27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其他事项</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88"/>
              <w:numPr>
                <w:ilvl w:val="0"/>
                <w:numId w:val="2"/>
              </w:numPr>
              <w:spacing w:line="360" w:lineRule="auto"/>
              <w:ind w:firstLineChars="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本公告发布于《青海政府采购网》、《青海</w:t>
            </w:r>
            <w:r>
              <w:rPr>
                <w:rFonts w:hint="eastAsia" w:ascii="宋体" w:hAnsi="宋体" w:cs="宋体"/>
                <w:color w:val="000000" w:themeColor="text1"/>
                <w:kern w:val="0"/>
                <w:sz w:val="24"/>
                <w:lang w:eastAsia="zh-CN"/>
                <w14:textFill>
                  <w14:solidFill>
                    <w14:schemeClr w14:val="tx1"/>
                  </w14:solidFill>
                </w14:textFill>
              </w:rPr>
              <w:t>省公共资源交易网</w:t>
            </w:r>
            <w:r>
              <w:rPr>
                <w:rFonts w:hint="eastAsia" w:ascii="宋体" w:hAnsi="宋体" w:cs="宋体"/>
                <w:color w:val="000000" w:themeColor="text1"/>
                <w:kern w:val="0"/>
                <w:sz w:val="24"/>
                <w14:textFill>
                  <w14:solidFill>
                    <w14:schemeClr w14:val="tx1"/>
                  </w14:solidFill>
                </w14:textFill>
              </w:rPr>
              <w:t>》同时发布（公告期限：自青海政府采购网发布之日起5个工作日；公告内容以青海政府采购网发布的为准）</w:t>
            </w:r>
            <w:r>
              <w:rPr>
                <w:rFonts w:hint="eastAsia" w:ascii="宋体" w:hAnsi="宋体"/>
                <w:color w:val="000000" w:themeColor="text1"/>
                <w:kern w:val="0"/>
                <w:sz w:val="24"/>
                <w14:textFill>
                  <w14:solidFill>
                    <w14:schemeClr w14:val="tx1"/>
                  </w14:solidFill>
                </w14:textFill>
              </w:rPr>
              <w:t>。</w:t>
            </w:r>
          </w:p>
          <w:p>
            <w:pPr>
              <w:pStyle w:val="88"/>
              <w:numPr>
                <w:ilvl w:val="0"/>
                <w:numId w:val="2"/>
              </w:numPr>
              <w:spacing w:line="360" w:lineRule="auto"/>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本次招标采用线上提交投标文件的方式进行采购，投标文件必须在投标文件递交截止时间前上传平台。</w:t>
            </w:r>
          </w:p>
          <w:p>
            <w:pPr>
              <w:pStyle w:val="88"/>
              <w:numPr>
                <w:ilvl w:val="0"/>
                <w:numId w:val="2"/>
              </w:numPr>
              <w:spacing w:line="360" w:lineRule="auto"/>
              <w:ind w:firstLineChars="0"/>
              <w:rPr>
                <w:rFonts w:ascii="宋体" w:hAnsi="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 CA问题</w:t>
            </w:r>
            <w:r>
              <w:rPr>
                <w:rFonts w:hint="eastAsia" w:ascii="宋体" w:hAnsi="宋体" w:cs="宋体"/>
                <w:color w:val="000000" w:themeColor="text1"/>
                <w:sz w:val="24"/>
                <w14:textFill>
                  <w14:solidFill>
                    <w14:schemeClr w14:val="tx1"/>
                  </w14:solidFill>
                </w14:textFill>
              </w:rPr>
              <w:t>PC咨询网址（可及时反馈问题截图，让客服快速定位问题）:http://tseal.cn/k.html，</w:t>
            </w:r>
            <w:r>
              <w:rPr>
                <w:rFonts w:ascii="宋体" w:hAnsi="宋体" w:cs="宋体"/>
                <w:color w:val="000000" w:themeColor="text1"/>
                <w:sz w:val="24"/>
                <w14:textFill>
                  <w14:solidFill>
                    <w14:schemeClr w14:val="tx1"/>
                  </w14:solidFill>
                </w14:textFill>
              </w:rPr>
              <w:t>联系电话（人工）：400-087-8198。</w:t>
            </w:r>
          </w:p>
          <w:p>
            <w:pPr>
              <w:pStyle w:val="88"/>
              <w:numPr>
                <w:ilvl w:val="0"/>
                <w:numId w:val="0"/>
              </w:numPr>
              <w:spacing w:line="360" w:lineRule="auto"/>
              <w:ind w:leftChars="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ascii="宋体" w:hAnsi="宋体" w:cs="宋体"/>
                <w:color w:val="000000" w:themeColor="text1"/>
                <w:sz w:val="24"/>
                <w14:textFill>
                  <w14:solidFill>
                    <w14:schemeClr w14:val="tx1"/>
                  </w14:solidFill>
                </w14:textFill>
              </w:rPr>
              <w:t>供应商解密和磋商报价时必须</w:t>
            </w:r>
            <w:r>
              <w:rPr>
                <w:rFonts w:hint="eastAsia" w:ascii="宋体" w:hAnsi="宋体" w:cs="宋体"/>
                <w:color w:val="000000" w:themeColor="text1"/>
                <w:sz w:val="24"/>
                <w14:textFill>
                  <w14:solidFill>
                    <w14:schemeClr w14:val="tx1"/>
                  </w14:solidFill>
                </w14:textFill>
              </w:rPr>
              <w:t>由</w:t>
            </w:r>
            <w:r>
              <w:rPr>
                <w:rFonts w:ascii="宋体" w:hAnsi="宋体" w:cs="宋体"/>
                <w:color w:val="000000" w:themeColor="text1"/>
                <w:sz w:val="24"/>
                <w14:textFill>
                  <w14:solidFill>
                    <w14:schemeClr w14:val="tx1"/>
                  </w14:solidFill>
                </w14:textFill>
              </w:rPr>
              <w:t>e签宝注册人办理，供应商须在固定电脑设备前登陆等待解密和磋商报价，供应商</w:t>
            </w:r>
            <w:r>
              <w:rPr>
                <w:rFonts w:hint="eastAsia" w:ascii="宋体" w:hAnsi="宋体" w:cs="宋体"/>
                <w:color w:val="000000" w:themeColor="text1"/>
                <w:sz w:val="24"/>
                <w14:textFill>
                  <w14:solidFill>
                    <w14:schemeClr w14:val="tx1"/>
                  </w14:solidFill>
                </w14:textFill>
              </w:rPr>
              <w:t>须在规定的时间内完成，如超时，则视为无效投标</w:t>
            </w:r>
            <w:r>
              <w:rPr>
                <w:rFonts w:ascii="宋体" w:hAnsi="宋体" w:cs="宋体"/>
                <w:color w:val="000000" w:themeColor="text1"/>
                <w:sz w:val="24"/>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15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财政部门监督电话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48"/>
              <w:spacing w:line="360" w:lineRule="auto"/>
              <w:jc w:val="left"/>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监督单位：都兰县财政局</w:t>
            </w:r>
          </w:p>
          <w:p>
            <w:pPr>
              <w:pStyle w:val="48"/>
              <w:spacing w:line="360" w:lineRule="auto"/>
              <w:jc w:val="left"/>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联系电话：0977-8232067</w:t>
            </w:r>
          </w:p>
        </w:tc>
      </w:tr>
    </w:tbl>
    <w:p>
      <w:pPr>
        <w:adjustRightInd w:val="0"/>
        <w:spacing w:line="360" w:lineRule="auto"/>
        <w:jc w:val="right"/>
        <w:textAlignment w:val="baseline"/>
        <w:outlineLvl w:val="9"/>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青海世瀚工程项目管理有限公司</w:t>
      </w:r>
    </w:p>
    <w:p>
      <w:pPr>
        <w:adjustRightInd w:val="0"/>
        <w:spacing w:line="360" w:lineRule="auto"/>
        <w:jc w:val="center"/>
        <w:textAlignment w:val="baseline"/>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bookmarkEnd w:id="3"/>
      <w:bookmarkEnd w:id="6"/>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03</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日</w:t>
      </w:r>
    </w:p>
    <w:p>
      <w:pPr>
        <w:rPr>
          <w:rFonts w:ascii="宋体" w:hAnsi="宋体"/>
          <w:sz w:val="24"/>
        </w:rPr>
      </w:pPr>
      <w:r>
        <w:rPr>
          <w:rFonts w:ascii="宋体" w:hAnsi="宋体"/>
          <w:sz w:val="24"/>
        </w:rPr>
        <w:br w:type="page"/>
      </w:r>
    </w:p>
    <w:p>
      <w:pPr>
        <w:pStyle w:val="23"/>
        <w:outlineLvl w:val="0"/>
        <w:rPr>
          <w:sz w:val="48"/>
          <w:szCs w:val="48"/>
        </w:rPr>
      </w:pPr>
      <w:bookmarkStart w:id="7" w:name="_Toc444715733"/>
      <w:bookmarkStart w:id="8" w:name="_Toc7676"/>
      <w:bookmarkStart w:id="9" w:name="_Toc21399"/>
      <w:r>
        <w:rPr>
          <w:rFonts w:hint="eastAsia"/>
          <w:sz w:val="48"/>
          <w:szCs w:val="48"/>
        </w:rPr>
        <w:t>第二部分  供应商须知前附表</w:t>
      </w:r>
      <w:bookmarkEnd w:id="7"/>
      <w:bookmarkEnd w:id="8"/>
      <w:bookmarkEnd w:id="9"/>
    </w:p>
    <w:tbl>
      <w:tblPr>
        <w:tblStyle w:val="33"/>
        <w:tblW w:w="10433" w:type="dxa"/>
        <w:jc w:val="center"/>
        <w:shd w:val="clear" w:color="auto" w:fill="auto"/>
        <w:tblLayout w:type="fixed"/>
        <w:tblCellMar>
          <w:top w:w="0" w:type="dxa"/>
          <w:left w:w="57" w:type="dxa"/>
          <w:bottom w:w="0" w:type="dxa"/>
          <w:right w:w="57" w:type="dxa"/>
        </w:tblCellMar>
      </w:tblPr>
      <w:tblGrid>
        <w:gridCol w:w="653"/>
        <w:gridCol w:w="2098"/>
        <w:gridCol w:w="7682"/>
      </w:tblGrid>
      <w:tr>
        <w:tblPrEx>
          <w:shd w:val="clear" w:color="auto" w:fill="auto"/>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bCs/>
                <w:kern w:val="0"/>
                <w:sz w:val="24"/>
                <w:lang w:val="zh-CN"/>
              </w:rPr>
              <w:t>序号</w:t>
            </w:r>
          </w:p>
        </w:tc>
        <w:tc>
          <w:tcPr>
            <w:tcW w:w="978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bCs/>
                <w:kern w:val="0"/>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采购项目名称</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sz w:val="24"/>
                <w:lang w:val="zh-CN"/>
              </w:rPr>
              <w:t>都兰县2024年欠发达国有林场种苗基地建设项目第二次</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采购项目编号</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hint="default" w:ascii="宋体" w:hAnsi="宋体" w:eastAsia="宋体" w:cs="宋体"/>
                <w:bCs/>
                <w:kern w:val="0"/>
                <w:sz w:val="24"/>
                <w:lang w:val="en-US" w:eastAsia="zh-CN"/>
              </w:rPr>
            </w:pPr>
            <w:r>
              <w:rPr>
                <w:rFonts w:hint="eastAsia" w:ascii="宋体" w:hAnsi="宋体" w:cs="宋体"/>
                <w:bCs/>
                <w:kern w:val="0"/>
                <w:sz w:val="24"/>
                <w:lang w:val="zh-CN"/>
              </w:rPr>
              <w:t>青海世瀚竞磋（货物）202</w:t>
            </w:r>
            <w:r>
              <w:rPr>
                <w:rFonts w:hint="eastAsia" w:ascii="宋体" w:hAnsi="宋体" w:cs="宋体"/>
                <w:bCs/>
                <w:kern w:val="0"/>
                <w:sz w:val="24"/>
                <w:lang w:val="en-US" w:eastAsia="zh-CN"/>
              </w:rPr>
              <w:t>4</w:t>
            </w:r>
            <w:r>
              <w:rPr>
                <w:rFonts w:hint="eastAsia" w:ascii="宋体" w:hAnsi="宋体" w:cs="宋体"/>
                <w:bCs/>
                <w:kern w:val="0"/>
                <w:sz w:val="24"/>
                <w:lang w:val="zh-CN"/>
              </w:rPr>
              <w:t>-0</w:t>
            </w:r>
            <w:r>
              <w:rPr>
                <w:rFonts w:hint="eastAsia" w:ascii="宋体" w:hAnsi="宋体" w:cs="宋体"/>
                <w:bCs/>
                <w:kern w:val="0"/>
                <w:sz w:val="24"/>
                <w:lang w:val="en-US" w:eastAsia="zh-CN"/>
              </w:rPr>
              <w:t>01</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采购单位</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eastAsia="zh-CN"/>
              </w:rPr>
              <w:t>都兰县林业和草原局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采购代理机构</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青海世瀚工程项目管理有限公司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采购方式</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评分办法</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48"/>
              <w:spacing w:line="360" w:lineRule="auto"/>
              <w:jc w:val="left"/>
              <w:rPr>
                <w:rFonts w:ascii="宋体" w:hAnsi="宋体" w:cs="宋体"/>
                <w:bCs/>
                <w:kern w:val="0"/>
                <w:sz w:val="24"/>
                <w:lang w:val="zh-CN"/>
              </w:rPr>
            </w:pPr>
            <w:r>
              <w:rPr>
                <w:rFonts w:hint="eastAsia" w:ascii="宋体" w:hAnsi="宋体"/>
                <w:kern w:val="0"/>
                <w:sz w:val="24"/>
              </w:rPr>
              <w:t>采购预算额度</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48"/>
              <w:spacing w:line="360" w:lineRule="auto"/>
              <w:rPr>
                <w:rFonts w:ascii="宋体" w:hAnsi="宋体" w:cs="宋体"/>
                <w:kern w:val="0"/>
                <w:sz w:val="24"/>
                <w:lang w:val="zh-CN"/>
              </w:rPr>
            </w:pPr>
            <w:r>
              <w:rPr>
                <w:rFonts w:hint="eastAsia" w:ascii="宋体" w:hAnsi="宋体" w:cs="宋体"/>
                <w:sz w:val="24"/>
                <w:lang w:val="en-US" w:eastAsia="zh-CN"/>
              </w:rPr>
              <w:t>1260000</w:t>
            </w:r>
            <w:r>
              <w:rPr>
                <w:rFonts w:hint="eastAsia" w:ascii="宋体" w:hAnsi="宋体" w:cs="宋体"/>
                <w:sz w:val="24"/>
              </w:rPr>
              <w:t>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48"/>
              <w:spacing w:line="360" w:lineRule="auto"/>
              <w:jc w:val="left"/>
              <w:rPr>
                <w:rFonts w:hint="eastAsia" w:ascii="宋体" w:hAnsi="宋体" w:cs="宋体"/>
                <w:bCs/>
                <w:kern w:val="0"/>
                <w:sz w:val="24"/>
                <w:lang w:val="zh-CN"/>
              </w:rPr>
            </w:pPr>
            <w:r>
              <w:rPr>
                <w:rFonts w:hint="eastAsia" w:ascii="宋体" w:hAnsi="宋体"/>
                <w:kern w:val="0"/>
                <w:sz w:val="24"/>
                <w:lang w:val="en-US" w:eastAsia="zh-CN"/>
              </w:rPr>
              <w:t>最高限价</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48"/>
              <w:spacing w:line="360" w:lineRule="auto"/>
              <w:rPr>
                <w:rFonts w:hint="eastAsia" w:ascii="宋体" w:hAnsi="宋体" w:cs="宋体"/>
                <w:sz w:val="24"/>
                <w:lang w:val="en-US" w:eastAsia="zh-CN"/>
              </w:rPr>
            </w:pPr>
            <w:r>
              <w:rPr>
                <w:rFonts w:hint="eastAsia" w:ascii="宋体" w:hAnsi="宋体" w:cs="宋体"/>
                <w:sz w:val="24"/>
                <w:lang w:val="en-US" w:eastAsia="zh-CN"/>
              </w:rPr>
              <w:t>1199856.05元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项目分包个数</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宋体" w:hAnsi="宋体" w:cs="宋体"/>
                <w:kern w:val="0"/>
                <w:sz w:val="24"/>
                <w:lang w:val="zh-CN"/>
              </w:rPr>
            </w:pPr>
            <w:r>
              <w:rPr>
                <w:rFonts w:hint="eastAsia" w:ascii="宋体" w:hAnsi="宋体"/>
                <w:kern w:val="0"/>
                <w:sz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采购要求</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详见磋商文件“第六部分 采购项目要求及技术参数”</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sz w:val="24"/>
              </w:rPr>
              <w:t>供应商</w:t>
            </w:r>
            <w:r>
              <w:rPr>
                <w:rFonts w:hint="eastAsia" w:ascii="宋体" w:hAnsi="宋体" w:cs="宋体"/>
                <w:bCs/>
                <w:kern w:val="0"/>
                <w:sz w:val="24"/>
                <w:lang w:val="zh-CN"/>
              </w:rPr>
              <w:t>资格条件</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1.符合《政府采购法》第22条条件，并提供下列材料：</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&lt;1&gt;供应商的营业执照等证明文件，自然人的身份证明。</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&lt;2&gt;财务状况报告，依法缴纳税收和社会保障资金的相关材料。</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&lt;3&gt;具备履行合同所必需的设备和专业技术能力的证明材料。</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&lt;4&gt;参加政府采购活动前3年内在经营活动中没有重大违法记录书面声明。</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&lt;5&gt;具备法律、行政法规规定的其他条件的证明材料。</w:t>
            </w:r>
          </w:p>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2.单位负责人为同一人或者存在直接控股、管理关系的不同供应商，不得参加同一合同项下的政府采购活动。否则，皆取消投标资格；</w:t>
            </w:r>
          </w:p>
          <w:p>
            <w:pPr>
              <w:autoSpaceDE w:val="0"/>
              <w:autoSpaceDN w:val="0"/>
              <w:spacing w:line="360" w:lineRule="auto"/>
              <w:rPr>
                <w:rFonts w:ascii="宋体" w:hAnsi="宋体"/>
                <w:kern w:val="0"/>
                <w:sz w:val="24"/>
              </w:rPr>
            </w:pPr>
            <w:r>
              <w:rPr>
                <w:rFonts w:hint="eastAsia" w:ascii="宋体" w:hAnsi="宋体" w:cs="宋体"/>
                <w:kern w:val="0"/>
                <w:sz w:val="24"/>
                <w:lang w:val="zh-CN"/>
              </w:rPr>
              <w:t>3.</w:t>
            </w:r>
            <w:r>
              <w:rPr>
                <w:rFonts w:hint="eastAsia" w:ascii="宋体" w:hAnsi="宋体"/>
                <w:kern w:val="0"/>
                <w:sz w:val="24"/>
                <w:lang w:val="en-US" w:eastAsia="zh-CN"/>
              </w:rPr>
              <w:t>供应商须具备林木种子生产经营许可证并在人员、设备、资金等方面具备相应的施工能力</w:t>
            </w:r>
            <w:r>
              <w:rPr>
                <w:rFonts w:hint="eastAsia" w:ascii="宋体" w:hAnsi="宋体"/>
                <w:kern w:val="0"/>
                <w:sz w:val="24"/>
              </w:rPr>
              <w:t>；</w:t>
            </w:r>
          </w:p>
          <w:p>
            <w:pPr>
              <w:autoSpaceDE w:val="0"/>
              <w:autoSpaceDN w:val="0"/>
              <w:spacing w:line="360" w:lineRule="auto"/>
              <w:rPr>
                <w:rFonts w:ascii="宋体" w:hAnsi="宋体" w:cs="宋体"/>
                <w:kern w:val="0"/>
                <w:sz w:val="24"/>
              </w:rPr>
            </w:pPr>
            <w:r>
              <w:rPr>
                <w:rFonts w:hint="eastAsia" w:ascii="宋体" w:hAnsi="宋体"/>
                <w:kern w:val="0"/>
                <w:sz w:val="24"/>
              </w:rPr>
              <w:t>4</w:t>
            </w:r>
            <w:r>
              <w:rPr>
                <w:rFonts w:hint="eastAsia" w:ascii="宋体" w:hAnsi="宋体" w:cs="宋体"/>
                <w:kern w:val="0"/>
                <w:sz w:val="24"/>
              </w:rPr>
              <w:t>.</w:t>
            </w:r>
            <w:r>
              <w:rPr>
                <w:rFonts w:hint="eastAsia" w:ascii="宋体" w:hAnsi="宋体" w:cs="宋体"/>
                <w:kern w:val="0"/>
                <w:sz w:val="24"/>
                <w:lang w:val="zh-CN"/>
              </w:rPr>
              <w:t>经信用中</w:t>
            </w:r>
            <w:r>
              <w:rPr>
                <w:rFonts w:hint="eastAsia" w:ascii="宋体" w:hAnsi="宋体"/>
                <w:kern w:val="0"/>
                <w:sz w:val="24"/>
              </w:rPr>
              <w:t>国（www.creditchina.gov.cn）、中国政府采购网（www.ccgp.gov.cn）等渠道查询后，列入失信被执行人、税收违法黑名单、政府采购严重违法失信行为记录名单的，取消投标资格(提供“信用中国”网站的查询截图</w:t>
            </w:r>
            <w:r>
              <w:rPr>
                <w:rFonts w:hint="eastAsia" w:ascii="宋体" w:hAnsi="宋体"/>
                <w:kern w:val="0"/>
                <w:sz w:val="24"/>
                <w:lang w:val="en-US" w:eastAsia="zh-CN"/>
              </w:rPr>
              <w:t>,</w:t>
            </w:r>
            <w:r>
              <w:rPr>
                <w:rFonts w:hint="eastAsia"/>
                <w:bCs/>
                <w:iCs/>
                <w:color w:val="auto"/>
                <w:sz w:val="24"/>
                <w:szCs w:val="22"/>
                <w:lang w:val="zh-CN"/>
              </w:rPr>
              <w:t>时间为投标截止时间前</w:t>
            </w:r>
            <w:r>
              <w:rPr>
                <w:rFonts w:hint="eastAsia"/>
                <w:bCs/>
                <w:iCs/>
                <w:color w:val="auto"/>
                <w:sz w:val="24"/>
                <w:szCs w:val="22"/>
                <w:lang w:val="en-US" w:eastAsia="zh-CN"/>
              </w:rPr>
              <w:t>20</w:t>
            </w:r>
            <w:r>
              <w:rPr>
                <w:rFonts w:hint="eastAsia"/>
                <w:bCs/>
                <w:iCs/>
                <w:color w:val="auto"/>
                <w:sz w:val="24"/>
                <w:szCs w:val="22"/>
                <w:lang w:val="zh-CN"/>
              </w:rPr>
              <w:t>天内</w:t>
            </w:r>
            <w:r>
              <w:rPr>
                <w:rFonts w:hint="eastAsia" w:ascii="宋体" w:hAnsi="宋体"/>
                <w:kern w:val="0"/>
                <w:sz w:val="24"/>
              </w:rPr>
              <w:t>)</w:t>
            </w:r>
            <w:r>
              <w:rPr>
                <w:rFonts w:hint="eastAsia" w:ascii="宋体" w:hAnsi="宋体" w:cs="宋体"/>
                <w:kern w:val="0"/>
                <w:sz w:val="24"/>
              </w:rPr>
              <w:t>；</w:t>
            </w:r>
          </w:p>
          <w:p>
            <w:pPr>
              <w:autoSpaceDE w:val="0"/>
              <w:autoSpaceDN w:val="0"/>
              <w:spacing w:line="360" w:lineRule="auto"/>
              <w:rPr>
                <w:rFonts w:hint="eastAsia" w:ascii="宋体" w:hAnsi="宋体" w:cs="宋体"/>
                <w:kern w:val="0"/>
                <w:sz w:val="24"/>
                <w:lang w:val="zh-CN"/>
              </w:rPr>
            </w:pPr>
            <w:r>
              <w:rPr>
                <w:rFonts w:hint="eastAsia" w:ascii="宋体" w:hAnsi="宋体" w:cs="宋体"/>
                <w:kern w:val="0"/>
                <w:sz w:val="24"/>
                <w:lang w:val="zh-CN"/>
              </w:rPr>
              <w:t>5.本项目不接受供应商以联合体方式进行投标。</w:t>
            </w:r>
          </w:p>
          <w:p>
            <w:pPr>
              <w:autoSpaceDE w:val="0"/>
              <w:autoSpaceDN w:val="0"/>
              <w:spacing w:line="360" w:lineRule="auto"/>
              <w:rPr>
                <w:rFonts w:hint="eastAsia" w:ascii="宋体" w:hAnsi="宋体" w:cs="宋体"/>
                <w:kern w:val="0"/>
                <w:sz w:val="24"/>
                <w:lang w:val="zh-CN"/>
              </w:rPr>
            </w:pPr>
            <w:r>
              <w:rPr>
                <w:rFonts w:hint="eastAsia" w:ascii="宋体" w:hAnsi="宋体" w:cs="宋体"/>
                <w:color w:val="auto"/>
                <w:sz w:val="24"/>
                <w:szCs w:val="24"/>
                <w:lang w:val="en-US" w:eastAsia="zh-CN"/>
              </w:rPr>
              <w:t>6.</w:t>
            </w:r>
            <w:r>
              <w:rPr>
                <w:rFonts w:hint="eastAsia" w:ascii="宋体" w:hAnsi="宋体" w:cs="宋体"/>
                <w:color w:val="auto"/>
                <w:sz w:val="24"/>
                <w:szCs w:val="24"/>
              </w:rPr>
              <w:t>该项目是为中小企业预留项目，中小企业声明函为资格审查项，需按资格审查册中的声明函格式填写，编入资格审查册中并单独上传一份至电子评标系统资格审查项，非中小型企业投标的视为无效投标。（本标的物所属行业为</w:t>
            </w:r>
            <w:r>
              <w:rPr>
                <w:rFonts w:hint="eastAsia" w:ascii="宋体" w:hAnsi="宋体" w:cs="宋体"/>
                <w:color w:val="auto"/>
                <w:sz w:val="24"/>
                <w:szCs w:val="24"/>
                <w:lang w:val="en-US" w:eastAsia="zh-CN"/>
              </w:rPr>
              <w:t>农林</w:t>
            </w:r>
            <w:r>
              <w:rPr>
                <w:rFonts w:hint="eastAsia" w:ascii="宋体" w:hAnsi="宋体" w:cs="宋体"/>
                <w:color w:val="auto"/>
                <w:sz w:val="24"/>
                <w:szCs w:val="24"/>
              </w:rPr>
              <w:t>业）</w:t>
            </w:r>
          </w:p>
        </w:tc>
      </w:tr>
      <w:tr>
        <w:tblPrEx>
          <w:shd w:val="clear" w:color="auto" w:fill="auto"/>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rPr>
            </w:pPr>
          </w:p>
        </w:tc>
        <w:tc>
          <w:tcPr>
            <w:tcW w:w="2098" w:type="dxa"/>
            <w:tcBorders>
              <w:top w:val="single" w:color="000000" w:sz="6" w:space="0"/>
              <w:left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磋商保证金</w:t>
            </w:r>
          </w:p>
        </w:tc>
        <w:tc>
          <w:tcPr>
            <w:tcW w:w="7682" w:type="dxa"/>
            <w:tcBorders>
              <w:top w:val="single" w:color="000000" w:sz="6" w:space="0"/>
              <w:left w:val="single" w:color="000000" w:sz="6" w:space="0"/>
              <w:right w:val="single" w:color="000000" w:sz="6" w:space="0"/>
            </w:tcBorders>
            <w:shd w:val="clear" w:color="auto" w:fill="auto"/>
          </w:tcPr>
          <w:p>
            <w:pPr>
              <w:pStyle w:val="48"/>
              <w:spacing w:line="360" w:lineRule="auto"/>
              <w:rPr>
                <w:rFonts w:hint="eastAsia" w:ascii="宋体" w:hAnsi="宋体" w:eastAsia="宋体" w:cs="宋体"/>
                <w:kern w:val="0"/>
                <w:sz w:val="24"/>
                <w:lang w:val="en-US" w:eastAsia="zh-CN"/>
              </w:rPr>
            </w:pPr>
            <w:r>
              <w:rPr>
                <w:rFonts w:hint="eastAsia" w:ascii="宋体" w:hAnsi="宋体" w:cs="宋体"/>
                <w:kern w:val="0"/>
                <w:sz w:val="24"/>
                <w:lang w:val="en-US" w:eastAsia="zh-CN"/>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保证金缴纳方式</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kern w:val="0"/>
                <w:sz w:val="24"/>
              </w:rPr>
              <w:t>磋商</w:t>
            </w:r>
            <w:r>
              <w:rPr>
                <w:rFonts w:hint="eastAsia" w:ascii="宋体" w:hAnsi="宋体" w:cs="宋体"/>
                <w:bCs/>
                <w:kern w:val="0"/>
                <w:sz w:val="24"/>
                <w:lang w:val="zh-CN"/>
              </w:rPr>
              <w:t>保证金退还</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kern w:val="0"/>
                <w:sz w:val="24"/>
              </w:rPr>
            </w:pPr>
            <w:r>
              <w:rPr>
                <w:rFonts w:hint="eastAsia" w:ascii="宋体" w:hAnsi="宋体" w:cs="宋体"/>
                <w:bCs/>
                <w:kern w:val="0"/>
                <w:sz w:val="24"/>
                <w:lang w:val="zh-CN"/>
              </w:rPr>
              <w:t>递交磋商文件方式</w:t>
            </w:r>
          </w:p>
        </w:tc>
        <w:tc>
          <w:tcPr>
            <w:tcW w:w="768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8"/>
              <w:spacing w:line="360" w:lineRule="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通过政采云投标客户端递交响应文件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kern w:val="0"/>
                <w:sz w:val="24"/>
              </w:rPr>
              <w:t>磋商</w:t>
            </w:r>
            <w:r>
              <w:rPr>
                <w:rFonts w:hint="eastAsia" w:ascii="宋体" w:hAnsi="宋体" w:cs="宋体"/>
                <w:bCs/>
                <w:kern w:val="0"/>
                <w:sz w:val="24"/>
                <w:lang w:val="zh-CN"/>
              </w:rPr>
              <w:t>截止时间</w:t>
            </w:r>
          </w:p>
        </w:tc>
        <w:tc>
          <w:tcPr>
            <w:tcW w:w="768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8"/>
              <w:spacing w:line="360" w:lineRule="auto"/>
              <w:rPr>
                <w:rFonts w:ascii="宋体" w:hAnsi="宋体"/>
                <w:b/>
                <w:bCs/>
                <w:color w:val="000000" w:themeColor="text1"/>
                <w:kern w:val="0"/>
                <w:sz w:val="24"/>
                <w14:textFill>
                  <w14:solidFill>
                    <w14:schemeClr w14:val="tx1"/>
                  </w14:solidFill>
                </w14:textFill>
              </w:rPr>
            </w:pPr>
            <w:r>
              <w:rPr>
                <w:rFonts w:hint="eastAsia" w:ascii="宋体" w:hAnsi="宋体"/>
                <w:b/>
                <w:bCs/>
                <w:kern w:val="0"/>
                <w:sz w:val="24"/>
              </w:rPr>
              <w:t>202</w:t>
            </w:r>
            <w:r>
              <w:rPr>
                <w:rFonts w:hint="eastAsia" w:ascii="宋体" w:hAnsi="宋体"/>
                <w:b/>
                <w:bCs/>
                <w:kern w:val="0"/>
                <w:sz w:val="24"/>
                <w:lang w:val="en-US" w:eastAsia="zh-CN"/>
              </w:rPr>
              <w:t>4</w:t>
            </w:r>
            <w:r>
              <w:rPr>
                <w:rFonts w:hint="eastAsia" w:ascii="宋体" w:hAnsi="宋体"/>
                <w:b/>
                <w:bCs/>
                <w:kern w:val="0"/>
                <w:sz w:val="24"/>
              </w:rPr>
              <w:t>年</w:t>
            </w:r>
            <w:r>
              <w:rPr>
                <w:rFonts w:hint="eastAsia" w:ascii="宋体" w:hAnsi="宋体"/>
                <w:b/>
                <w:bCs/>
                <w:kern w:val="0"/>
                <w:sz w:val="24"/>
                <w:lang w:val="en-US" w:eastAsia="zh-CN"/>
              </w:rPr>
              <w:t>03</w:t>
            </w:r>
            <w:r>
              <w:rPr>
                <w:rFonts w:hint="eastAsia" w:ascii="宋体" w:hAnsi="宋体"/>
                <w:b/>
                <w:bCs/>
                <w:kern w:val="0"/>
                <w:sz w:val="24"/>
              </w:rPr>
              <w:t>月</w:t>
            </w:r>
            <w:r>
              <w:rPr>
                <w:rFonts w:hint="eastAsia" w:ascii="宋体" w:hAnsi="宋体"/>
                <w:b/>
                <w:bCs/>
                <w:kern w:val="0"/>
                <w:sz w:val="24"/>
                <w:lang w:val="en-US" w:eastAsia="zh-CN"/>
              </w:rPr>
              <w:t>22</w:t>
            </w:r>
            <w:r>
              <w:rPr>
                <w:rFonts w:hint="eastAsia" w:ascii="宋体" w:hAnsi="宋体"/>
                <w:b/>
                <w:bCs/>
                <w:kern w:val="0"/>
                <w:sz w:val="24"/>
              </w:rPr>
              <w:t>日</w:t>
            </w:r>
            <w:r>
              <w:rPr>
                <w:rFonts w:hint="eastAsia" w:ascii="宋体" w:hAnsi="宋体"/>
                <w:b/>
                <w:bCs/>
                <w:kern w:val="0"/>
                <w:sz w:val="24"/>
                <w:lang w:eastAsia="zh-CN"/>
              </w:rPr>
              <w:t>上午</w:t>
            </w:r>
            <w:r>
              <w:rPr>
                <w:rFonts w:hint="eastAsia" w:ascii="宋体" w:hAnsi="宋体"/>
                <w:b/>
                <w:bCs/>
                <w:kern w:val="0"/>
                <w:sz w:val="24"/>
                <w:lang w:val="en-US" w:eastAsia="zh-CN"/>
              </w:rPr>
              <w:t>10</w:t>
            </w:r>
            <w:r>
              <w:rPr>
                <w:rFonts w:hint="eastAsia" w:ascii="宋体" w:hAnsi="宋体"/>
                <w:b/>
                <w:bCs/>
                <w:kern w:val="0"/>
                <w:sz w:val="24"/>
              </w:rPr>
              <w:t>:</w:t>
            </w:r>
            <w:r>
              <w:rPr>
                <w:rFonts w:hint="eastAsia" w:ascii="宋体" w:hAnsi="宋体"/>
                <w:b/>
                <w:bCs/>
                <w:kern w:val="0"/>
                <w:sz w:val="24"/>
                <w:lang w:val="en-US" w:eastAsia="zh-CN"/>
              </w:rPr>
              <w:t>00</w:t>
            </w:r>
            <w:r>
              <w:rPr>
                <w:rFonts w:hint="eastAsia" w:ascii="宋体" w:hAnsi="宋体"/>
                <w:b/>
                <w:bCs/>
                <w:kern w:val="0"/>
                <w:sz w:val="24"/>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磋商时间</w:t>
            </w:r>
          </w:p>
        </w:tc>
        <w:tc>
          <w:tcPr>
            <w:tcW w:w="768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8"/>
              <w:spacing w:line="360" w:lineRule="auto"/>
              <w:rPr>
                <w:rFonts w:ascii="宋体" w:hAnsi="宋体"/>
                <w:b/>
                <w:bCs/>
                <w:color w:val="000000" w:themeColor="text1"/>
                <w:kern w:val="0"/>
                <w:sz w:val="24"/>
                <w14:textFill>
                  <w14:solidFill>
                    <w14:schemeClr w14:val="tx1"/>
                  </w14:solidFill>
                </w14:textFill>
              </w:rPr>
            </w:pPr>
            <w:r>
              <w:rPr>
                <w:rFonts w:hint="eastAsia" w:ascii="宋体" w:hAnsi="宋体"/>
                <w:b/>
                <w:bCs/>
                <w:kern w:val="0"/>
                <w:sz w:val="24"/>
              </w:rPr>
              <w:t>202</w:t>
            </w:r>
            <w:r>
              <w:rPr>
                <w:rFonts w:hint="eastAsia" w:ascii="宋体" w:hAnsi="宋体"/>
                <w:b/>
                <w:bCs/>
                <w:kern w:val="0"/>
                <w:sz w:val="24"/>
                <w:lang w:val="en-US" w:eastAsia="zh-CN"/>
              </w:rPr>
              <w:t>4</w:t>
            </w:r>
            <w:r>
              <w:rPr>
                <w:rFonts w:hint="eastAsia" w:ascii="宋体" w:hAnsi="宋体"/>
                <w:b/>
                <w:bCs/>
                <w:kern w:val="0"/>
                <w:sz w:val="24"/>
              </w:rPr>
              <w:t>年</w:t>
            </w:r>
            <w:r>
              <w:rPr>
                <w:rFonts w:hint="eastAsia" w:ascii="宋体" w:hAnsi="宋体"/>
                <w:b/>
                <w:bCs/>
                <w:kern w:val="0"/>
                <w:sz w:val="24"/>
                <w:lang w:val="en-US" w:eastAsia="zh-CN"/>
              </w:rPr>
              <w:t>03</w:t>
            </w:r>
            <w:r>
              <w:rPr>
                <w:rFonts w:hint="eastAsia" w:ascii="宋体" w:hAnsi="宋体"/>
                <w:b/>
                <w:bCs/>
                <w:kern w:val="0"/>
                <w:sz w:val="24"/>
              </w:rPr>
              <w:t>月</w:t>
            </w:r>
            <w:r>
              <w:rPr>
                <w:rFonts w:hint="eastAsia" w:ascii="宋体" w:hAnsi="宋体"/>
                <w:b/>
                <w:bCs/>
                <w:kern w:val="0"/>
                <w:sz w:val="24"/>
                <w:lang w:val="en-US" w:eastAsia="zh-CN"/>
              </w:rPr>
              <w:t>22</w:t>
            </w:r>
            <w:r>
              <w:rPr>
                <w:rFonts w:hint="eastAsia" w:ascii="宋体" w:hAnsi="宋体"/>
                <w:b/>
                <w:bCs/>
                <w:kern w:val="0"/>
                <w:sz w:val="24"/>
              </w:rPr>
              <w:t>日</w:t>
            </w:r>
            <w:r>
              <w:rPr>
                <w:rFonts w:hint="eastAsia" w:ascii="宋体" w:hAnsi="宋体"/>
                <w:b/>
                <w:bCs/>
                <w:kern w:val="0"/>
                <w:sz w:val="24"/>
                <w:lang w:eastAsia="zh-CN"/>
              </w:rPr>
              <w:t>上午</w:t>
            </w:r>
            <w:r>
              <w:rPr>
                <w:rFonts w:hint="eastAsia" w:ascii="宋体" w:hAnsi="宋体"/>
                <w:b/>
                <w:bCs/>
                <w:kern w:val="0"/>
                <w:sz w:val="24"/>
                <w:lang w:val="en-US" w:eastAsia="zh-CN"/>
              </w:rPr>
              <w:t>10</w:t>
            </w:r>
            <w:r>
              <w:rPr>
                <w:rFonts w:hint="eastAsia" w:ascii="宋体" w:hAnsi="宋体"/>
                <w:b/>
                <w:bCs/>
                <w:kern w:val="0"/>
                <w:sz w:val="24"/>
              </w:rPr>
              <w:t>:</w:t>
            </w:r>
            <w:r>
              <w:rPr>
                <w:rFonts w:hint="eastAsia" w:ascii="宋体" w:hAnsi="宋体"/>
                <w:b/>
                <w:bCs/>
                <w:kern w:val="0"/>
                <w:sz w:val="24"/>
                <w:lang w:val="en-US" w:eastAsia="zh-CN"/>
              </w:rPr>
              <w:t>00</w:t>
            </w:r>
            <w:r>
              <w:rPr>
                <w:rFonts w:hint="eastAsia" w:ascii="宋体" w:hAnsi="宋体"/>
                <w:b/>
                <w:bCs/>
                <w:kern w:val="0"/>
                <w:sz w:val="24"/>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磋商及磋商地点</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hint="eastAsia" w:ascii="宋体" w:hAnsi="宋体" w:eastAsia="宋体" w:cs="宋体"/>
                <w:color w:val="000000" w:themeColor="text1"/>
                <w:kern w:val="0"/>
                <w:sz w:val="24"/>
                <w:lang w:val="zh-CN" w:eastAsia="zh-CN"/>
                <w14:textFill>
                  <w14:solidFill>
                    <w14:schemeClr w14:val="tx1"/>
                  </w14:solidFill>
                </w14:textFill>
              </w:rPr>
            </w:pPr>
            <w:r>
              <w:rPr>
                <w:rFonts w:ascii="宋体" w:hAnsi="宋体"/>
                <w:kern w:val="0"/>
                <w:sz w:val="24"/>
              </w:rPr>
              <w:t>政采云平台（</w:t>
            </w:r>
            <w:r>
              <w:rPr>
                <w:rFonts w:ascii="宋体" w:hAnsi="宋体"/>
                <w:kern w:val="0"/>
                <w:sz w:val="24"/>
              </w:rPr>
              <w:drawing>
                <wp:inline distT="0" distB="0" distL="0" distR="0">
                  <wp:extent cx="189865" cy="146685"/>
                  <wp:effectExtent l="0" t="0" r="635" b="5715"/>
                  <wp:docPr id="5" name="图片 5"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GJ$ACOF(TYDYECOKVD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ascii="宋体" w:hAnsi="宋体"/>
                <w:kern w:val="0"/>
                <w:sz w:val="24"/>
              </w:rPr>
              <w:t>www.zcygov.cn）</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磋商响应文件格式及编制要求</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kern w:val="0"/>
                <w:sz w:val="24"/>
              </w:rPr>
            </w:pPr>
            <w:r>
              <w:rPr>
                <w:rFonts w:hint="eastAsia" w:ascii="宋体" w:hAnsi="宋体"/>
                <w:kern w:val="0"/>
                <w:sz w:val="24"/>
              </w:rPr>
              <w:t>1、供应商须提交加密电子投标文件1份务必在开标截止前上传至电子开评标系统。加密电子投标文件制作详情请咨询政采云，咨询电话：400-881-7190。</w:t>
            </w:r>
          </w:p>
          <w:p>
            <w:pPr>
              <w:autoSpaceDE w:val="0"/>
              <w:autoSpaceDN w:val="0"/>
              <w:spacing w:line="360" w:lineRule="auto"/>
              <w:rPr>
                <w:rFonts w:ascii="宋体" w:hAnsi="宋体"/>
                <w:kern w:val="0"/>
                <w:sz w:val="24"/>
              </w:rPr>
            </w:pPr>
            <w:r>
              <w:rPr>
                <w:rFonts w:hint="eastAsia" w:ascii="宋体" w:hAnsi="宋体"/>
                <w:kern w:val="0"/>
                <w:sz w:val="24"/>
              </w:rPr>
              <w:t>2、按照线上响应文件编制要求，编制线上磋商响应文件。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递交磋商响应文件程序</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kern w:val="0"/>
                <w:sz w:val="24"/>
              </w:rPr>
            </w:pPr>
            <w:r>
              <w:rPr>
                <w:rFonts w:hint="eastAsia" w:ascii="宋体" w:hAnsi="宋体"/>
                <w:kern w:val="0"/>
                <w:sz w:val="24"/>
              </w:rPr>
              <w:t>供应商应当在磋商文件要求的截止时间前，将加密电子投标文件1份务必在开标截止前上传至电子开评标系统并进行签到。</w:t>
            </w:r>
          </w:p>
        </w:tc>
      </w:tr>
      <w:tr>
        <w:tblPrEx>
          <w:shd w:val="clear" w:color="auto" w:fill="auto"/>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答疑澄清方式</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线上答疑，应在规定的时间内通过政采云平台进行答疑澄清，如在规定的时间内未按要求进行澄清，视同放弃答疑。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代理服务费收取</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招标代理服务费：</w:t>
            </w:r>
          </w:p>
          <w:p>
            <w:pPr>
              <w:autoSpaceDE w:val="0"/>
              <w:autoSpaceDN w:val="0"/>
              <w:spacing w:line="276" w:lineRule="auto"/>
              <w:rPr>
                <w:rFonts w:hint="eastAsia"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收取对象：</w:t>
            </w:r>
            <w:r>
              <w:rPr>
                <w:rFonts w:hint="eastAsia" w:ascii="宋体" w:hAnsi="宋体" w:cs="宋体"/>
                <w:color w:val="000000" w:themeColor="text1"/>
                <w:kern w:val="0"/>
                <w:sz w:val="24"/>
                <w:lang w:val="en-US" w:eastAsia="zh-CN"/>
                <w14:textFill>
                  <w14:solidFill>
                    <w14:schemeClr w14:val="tx1"/>
                  </w14:solidFill>
                </w14:textFill>
              </w:rPr>
              <w:t>采购人</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276" w:lineRule="auto"/>
              <w:rPr>
                <w:rFonts w:ascii="宋体" w:hAnsi="宋体" w:cs="宋体"/>
                <w:color w:val="auto"/>
                <w:kern w:val="0"/>
                <w:sz w:val="24"/>
                <w:lang w:val="zh-CN"/>
              </w:rPr>
            </w:pPr>
            <w:r>
              <w:rPr>
                <w:rFonts w:hint="eastAsia" w:ascii="宋体" w:hAnsi="宋体" w:cs="宋体"/>
                <w:color w:val="auto"/>
                <w:kern w:val="0"/>
                <w:sz w:val="24"/>
                <w:lang w:val="zh-CN"/>
              </w:rPr>
              <w:t>收取金额：</w:t>
            </w:r>
            <w:r>
              <w:rPr>
                <w:rFonts w:hint="eastAsia" w:ascii="宋体" w:hAnsi="宋体" w:cs="宋体"/>
                <w:color w:val="auto"/>
                <w:kern w:val="0"/>
                <w:sz w:val="24"/>
                <w:lang w:val="en-US" w:eastAsia="zh-CN"/>
              </w:rPr>
              <w:t>3000元</w:t>
            </w:r>
            <w:r>
              <w:rPr>
                <w:rFonts w:hint="eastAsia" w:ascii="宋体" w:hAnsi="宋体" w:cs="宋体"/>
                <w:color w:val="auto"/>
                <w:kern w:val="0"/>
                <w:sz w:val="24"/>
                <w:lang w:val="zh-CN"/>
              </w:rPr>
              <w:t>；</w:t>
            </w:r>
          </w:p>
          <w:p>
            <w:pPr>
              <w:spacing w:line="360" w:lineRule="auto"/>
              <w:rPr>
                <w:rFonts w:hint="eastAsia" w:ascii="宋体" w:hAnsi="宋体" w:cs="宋体"/>
                <w:kern w:val="0"/>
                <w:sz w:val="24"/>
                <w:lang w:val="zh-CN"/>
              </w:rPr>
            </w:pPr>
            <w:r>
              <w:rPr>
                <w:rFonts w:hint="eastAsia" w:ascii="宋体" w:hAnsi="宋体" w:cs="宋体"/>
                <w:kern w:val="0"/>
                <w:sz w:val="24"/>
                <w:lang w:val="zh-CN"/>
              </w:rPr>
              <w:t>说明：根据《招标代理服务收费管理暂行办法》（计价格[2002]1980号）</w:t>
            </w:r>
          </w:p>
          <w:p>
            <w:pPr>
              <w:spacing w:line="360" w:lineRule="auto"/>
              <w:rPr>
                <w:rFonts w:ascii="宋体" w:hAnsi="宋体" w:cs="宋体"/>
                <w:kern w:val="0"/>
                <w:sz w:val="24"/>
                <w:lang w:val="zh-CN"/>
              </w:rPr>
            </w:pPr>
            <w:r>
              <w:rPr>
                <w:rFonts w:hint="eastAsia" w:ascii="宋体" w:hAnsi="宋体" w:cs="宋体"/>
                <w:kern w:val="0"/>
                <w:sz w:val="24"/>
                <w:lang w:val="zh-CN"/>
              </w:rPr>
              <w:t>规定，实行市场调节价，应严格遵守《价格法》、《关于商品和服务实行明码标价的规定》等法律法规的规定，由采购人和采购代理机构共同确定合理的收费金额。</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合同签订有效期</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自成交通知书发出之日起</w:t>
            </w:r>
            <w:r>
              <w:rPr>
                <w:rFonts w:hint="eastAsia" w:ascii="宋体" w:hAnsi="宋体" w:cs="宋体"/>
                <w:kern w:val="0"/>
                <w:sz w:val="24"/>
              </w:rPr>
              <w:t>30</w:t>
            </w:r>
            <w:r>
              <w:rPr>
                <w:rFonts w:hint="eastAsia" w:ascii="宋体" w:hAnsi="宋体" w:cs="宋体"/>
                <w:kern w:val="0"/>
                <w:sz w:val="24"/>
                <w:lang w:val="zh-CN"/>
              </w:rPr>
              <w:t>日内与采购单位签订</w:t>
            </w:r>
            <w:r>
              <w:rPr>
                <w:rFonts w:hint="eastAsia" w:ascii="宋体" w:hAnsi="宋体" w:cs="宋体"/>
                <w:kern w:val="0"/>
                <w:sz w:val="24"/>
                <w:lang w:val="en-US" w:eastAsia="zh-CN"/>
              </w:rPr>
              <w:t>成交</w:t>
            </w:r>
            <w:r>
              <w:rPr>
                <w:rFonts w:hint="eastAsia" w:ascii="宋体" w:hAnsi="宋体" w:cs="宋体"/>
                <w:kern w:val="0"/>
                <w:sz w:val="24"/>
                <w:lang w:val="zh-CN"/>
              </w:rPr>
              <w:t>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政府采购合同备案</w:t>
            </w:r>
          </w:p>
        </w:tc>
        <w:tc>
          <w:tcPr>
            <w:tcW w:w="76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ascii="宋体" w:hAnsi="宋体" w:cs="Arial"/>
                <w:sz w:val="24"/>
              </w:rPr>
            </w:pPr>
            <w:r>
              <w:rPr>
                <w:rFonts w:ascii="宋体" w:hAnsi="宋体" w:cs="Arial"/>
                <w:sz w:val="24"/>
              </w:rPr>
              <w:t>采购合同全数返回采购代理机构签证，盖章。</w:t>
            </w:r>
          </w:p>
          <w:p>
            <w:pPr>
              <w:spacing w:line="360" w:lineRule="auto"/>
              <w:rPr>
                <w:rFonts w:ascii="宋体" w:hAnsi="宋体" w:cs="Arial"/>
                <w:sz w:val="24"/>
              </w:rPr>
            </w:pPr>
            <w:r>
              <w:rPr>
                <w:rFonts w:ascii="宋体" w:hAnsi="宋体" w:cs="Arial"/>
                <w:sz w:val="24"/>
              </w:rPr>
              <w:t>采购代理机构留存</w:t>
            </w:r>
            <w:r>
              <w:rPr>
                <w:rFonts w:hint="eastAsia" w:ascii="宋体" w:hAnsi="宋体" w:cs="Arial"/>
                <w:sz w:val="24"/>
              </w:rPr>
              <w:t>叁</w:t>
            </w:r>
            <w:r>
              <w:rPr>
                <w:rFonts w:ascii="宋体" w:hAnsi="宋体" w:cs="Arial"/>
                <w:sz w:val="24"/>
              </w:rPr>
              <w:t>份原件备案。</w:t>
            </w:r>
          </w:p>
          <w:p>
            <w:pPr>
              <w:spacing w:line="360" w:lineRule="auto"/>
              <w:rPr>
                <w:rFonts w:hint="eastAsia" w:ascii="宋体" w:hAnsi="宋体" w:eastAsia="宋体" w:cs="Arial"/>
                <w:sz w:val="24"/>
                <w:lang w:eastAsia="zh-CN"/>
              </w:rPr>
            </w:pPr>
            <w:r>
              <w:rPr>
                <w:rFonts w:ascii="宋体" w:hAnsi="宋体" w:cs="Arial"/>
                <w:sz w:val="24"/>
              </w:rPr>
              <w:t>合同返回地址：</w:t>
            </w:r>
            <w:r>
              <w:rPr>
                <w:rFonts w:hint="eastAsia" w:ascii="宋体" w:hAnsi="宋体" w:cs="Arial"/>
                <w:sz w:val="24"/>
                <w:lang w:val="zh-CN" w:eastAsia="zh-CN"/>
              </w:rPr>
              <w:t>青海世瀚工程项目管理有限公司（青海省西宁市</w:t>
            </w:r>
            <w:r>
              <w:rPr>
                <w:rFonts w:hint="eastAsia" w:ascii="宋体" w:hAnsi="宋体" w:cs="Arial"/>
                <w:sz w:val="24"/>
                <w:lang w:val="en-US" w:eastAsia="zh-CN"/>
              </w:rPr>
              <w:t>城北区柴达木路351号丽枫酒店西钢店9楼901室）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磋商有效期</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本次磋商有效期为磋商之日起60日历天</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rPr>
                <w:rFonts w:ascii="宋体" w:hAnsi="宋体" w:cs="宋体"/>
                <w:bCs/>
                <w:kern w:val="0"/>
                <w:sz w:val="24"/>
                <w:lang w:val="zh-CN"/>
              </w:rPr>
            </w:pPr>
            <w:r>
              <w:rPr>
                <w:rFonts w:hint="eastAsia" w:ascii="宋体" w:hAnsi="宋体" w:cs="宋体"/>
                <w:bCs/>
                <w:kern w:val="0"/>
                <w:sz w:val="24"/>
                <w:lang w:val="zh-CN"/>
              </w:rPr>
              <w:t>其他要求</w:t>
            </w:r>
          </w:p>
        </w:tc>
        <w:tc>
          <w:tcPr>
            <w:tcW w:w="7682" w:type="dxa"/>
            <w:tcBorders>
              <w:top w:val="single" w:color="000000" w:sz="6" w:space="0"/>
              <w:left w:val="single" w:color="000000" w:sz="6" w:space="0"/>
              <w:bottom w:val="single" w:color="000000" w:sz="6" w:space="0"/>
              <w:right w:val="single" w:color="000000" w:sz="6" w:space="0"/>
            </w:tcBorders>
            <w:shd w:val="clear" w:color="auto" w:fill="auto"/>
          </w:tcPr>
          <w:p>
            <w:pPr>
              <w:pStyle w:val="88"/>
              <w:numPr>
                <w:ilvl w:val="0"/>
                <w:numId w:val="0"/>
              </w:numPr>
              <w:spacing w:line="360" w:lineRule="auto"/>
              <w:ind w:leftChars="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本公告发布于《青海政府采购网》、《青海</w:t>
            </w:r>
            <w:r>
              <w:rPr>
                <w:rFonts w:hint="eastAsia" w:ascii="宋体" w:hAnsi="宋体" w:cs="宋体"/>
                <w:color w:val="000000" w:themeColor="text1"/>
                <w:kern w:val="0"/>
                <w:sz w:val="24"/>
                <w:lang w:eastAsia="zh-CN"/>
                <w14:textFill>
                  <w14:solidFill>
                    <w14:schemeClr w14:val="tx1"/>
                  </w14:solidFill>
                </w14:textFill>
              </w:rPr>
              <w:t>省公共资源交易网</w:t>
            </w:r>
            <w:r>
              <w:rPr>
                <w:rFonts w:hint="eastAsia" w:ascii="宋体" w:hAnsi="宋体" w:cs="宋体"/>
                <w:color w:val="000000" w:themeColor="text1"/>
                <w:kern w:val="0"/>
                <w:sz w:val="24"/>
                <w14:textFill>
                  <w14:solidFill>
                    <w14:schemeClr w14:val="tx1"/>
                  </w14:solidFill>
                </w14:textFill>
              </w:rPr>
              <w:t>》同时发布（公告期限：自青海政府采购网发布之日起5个工作日；公告内容以青海政府采购网发布的为准）</w:t>
            </w:r>
            <w:r>
              <w:rPr>
                <w:rFonts w:hint="eastAsia" w:ascii="宋体" w:hAnsi="宋体"/>
                <w:color w:val="000000" w:themeColor="text1"/>
                <w:kern w:val="0"/>
                <w:sz w:val="24"/>
                <w14:textFill>
                  <w14:solidFill>
                    <w14:schemeClr w14:val="tx1"/>
                  </w14:solidFill>
                </w14:textFill>
              </w:rPr>
              <w:t>。</w:t>
            </w:r>
          </w:p>
          <w:p>
            <w:pPr>
              <w:pStyle w:val="88"/>
              <w:numPr>
                <w:ilvl w:val="0"/>
                <w:numId w:val="0"/>
              </w:numPr>
              <w:spacing w:line="360" w:lineRule="auto"/>
              <w:ind w:left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本次招标采用线上提交投标文件的方式进行采购，投标文件必须在投标文件递交截止时间前上传平台。</w:t>
            </w:r>
          </w:p>
          <w:p>
            <w:pPr>
              <w:pStyle w:val="88"/>
              <w:numPr>
                <w:ilvl w:val="0"/>
                <w:numId w:val="0"/>
              </w:numPr>
              <w:spacing w:line="360" w:lineRule="auto"/>
              <w:ind w:leftChars="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 CA问题</w:t>
            </w:r>
            <w:r>
              <w:rPr>
                <w:rFonts w:hint="eastAsia" w:ascii="宋体" w:hAnsi="宋体" w:cs="宋体"/>
                <w:color w:val="000000" w:themeColor="text1"/>
                <w:sz w:val="24"/>
                <w14:textFill>
                  <w14:solidFill>
                    <w14:schemeClr w14:val="tx1"/>
                  </w14:solidFill>
                </w14:textFill>
              </w:rPr>
              <w:t>PC咨询网址（可及时反馈问题截图，让客服快速定位问题）:http://tseal.cn/k.html，</w:t>
            </w:r>
            <w:r>
              <w:rPr>
                <w:rFonts w:ascii="宋体" w:hAnsi="宋体" w:cs="宋体"/>
                <w:color w:val="000000" w:themeColor="text1"/>
                <w:sz w:val="24"/>
                <w14:textFill>
                  <w14:solidFill>
                    <w14:schemeClr w14:val="tx1"/>
                  </w14:solidFill>
                </w14:textFill>
              </w:rPr>
              <w:t>联系电话（人工）：400-087-8198。</w:t>
            </w:r>
          </w:p>
          <w:p>
            <w:pPr>
              <w:pStyle w:val="88"/>
              <w:numPr>
                <w:ilvl w:val="0"/>
                <w:numId w:val="0"/>
              </w:numPr>
              <w:spacing w:line="360" w:lineRule="auto"/>
              <w:ind w:leftChars="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ascii="宋体" w:hAnsi="宋体" w:cs="宋体"/>
                <w:color w:val="000000" w:themeColor="text1"/>
                <w:sz w:val="24"/>
                <w14:textFill>
                  <w14:solidFill>
                    <w14:schemeClr w14:val="tx1"/>
                  </w14:solidFill>
                </w14:textFill>
              </w:rPr>
              <w:t>磋商供应商解密和磋商报价时必须</w:t>
            </w:r>
            <w:r>
              <w:rPr>
                <w:rFonts w:hint="eastAsia" w:ascii="宋体" w:hAnsi="宋体" w:cs="宋体"/>
                <w:color w:val="000000" w:themeColor="text1"/>
                <w:sz w:val="24"/>
                <w14:textFill>
                  <w14:solidFill>
                    <w14:schemeClr w14:val="tx1"/>
                  </w14:solidFill>
                </w14:textFill>
              </w:rPr>
              <w:t>由</w:t>
            </w:r>
            <w:r>
              <w:rPr>
                <w:rFonts w:ascii="宋体" w:hAnsi="宋体" w:cs="宋体"/>
                <w:color w:val="000000" w:themeColor="text1"/>
                <w:sz w:val="24"/>
                <w14:textFill>
                  <w14:solidFill>
                    <w14:schemeClr w14:val="tx1"/>
                  </w14:solidFill>
                </w14:textFill>
              </w:rPr>
              <w:t>e签宝注册人办理，磋商供应商须在固定电脑设备前登陆等待解密和磋商报价，磋商供应商</w:t>
            </w:r>
            <w:r>
              <w:rPr>
                <w:rFonts w:hint="eastAsia" w:ascii="宋体" w:hAnsi="宋体" w:cs="宋体"/>
                <w:color w:val="000000" w:themeColor="text1"/>
                <w:sz w:val="24"/>
                <w14:textFill>
                  <w14:solidFill>
                    <w14:schemeClr w14:val="tx1"/>
                  </w14:solidFill>
                </w14:textFill>
              </w:rPr>
              <w:t>须在规定的时间内完成，如超时，则视为无效投标</w:t>
            </w:r>
            <w:r>
              <w:rPr>
                <w:rFonts w:ascii="宋体" w:hAnsi="宋体" w:cs="宋体"/>
                <w:color w:val="000000" w:themeColor="text1"/>
                <w:sz w:val="24"/>
                <w14:textFill>
                  <w14:solidFill>
                    <w14:schemeClr w14:val="tx1"/>
                  </w14:solidFill>
                </w14:textFill>
              </w:rPr>
              <w:t>。</w:t>
            </w:r>
          </w:p>
        </w:tc>
      </w:tr>
    </w:tbl>
    <w:p>
      <w:pPr>
        <w:pStyle w:val="23"/>
        <w:spacing w:before="0" w:after="0" w:line="360" w:lineRule="auto"/>
        <w:outlineLvl w:val="0"/>
        <w:rPr>
          <w:rFonts w:ascii="宋体" w:hAnsi="宋体"/>
          <w:sz w:val="48"/>
          <w:szCs w:val="48"/>
          <w:lang w:val="zh-CN"/>
        </w:rPr>
      </w:pPr>
      <w:r>
        <w:rPr>
          <w:rFonts w:ascii="宋体" w:hAnsi="宋体"/>
          <w:b w:val="0"/>
          <w:sz w:val="24"/>
          <w:szCs w:val="24"/>
        </w:rPr>
        <w:br w:type="page"/>
      </w:r>
      <w:bookmarkStart w:id="10" w:name="_Toc13284"/>
      <w:bookmarkStart w:id="11" w:name="_Toc444715734"/>
      <w:bookmarkStart w:id="12" w:name="_Toc19924"/>
      <w:r>
        <w:rPr>
          <w:rFonts w:hint="eastAsia" w:ascii="宋体" w:hAnsi="宋体"/>
          <w:sz w:val="48"/>
          <w:szCs w:val="48"/>
        </w:rPr>
        <w:t>第三部分  供应商须知</w:t>
      </w:r>
      <w:bookmarkEnd w:id="10"/>
      <w:bookmarkEnd w:id="11"/>
      <w:bookmarkEnd w:id="12"/>
    </w:p>
    <w:p>
      <w:pPr>
        <w:tabs>
          <w:tab w:val="left" w:pos="425"/>
          <w:tab w:val="left" w:pos="720"/>
          <w:tab w:val="left" w:pos="1985"/>
          <w:tab w:val="left" w:pos="7088"/>
        </w:tabs>
        <w:spacing w:line="480" w:lineRule="auto"/>
        <w:ind w:left="709"/>
        <w:jc w:val="center"/>
        <w:outlineLvl w:val="1"/>
        <w:rPr>
          <w:rFonts w:hAnsi="宋体"/>
          <w:b/>
          <w:sz w:val="24"/>
          <w:szCs w:val="24"/>
        </w:rPr>
      </w:pPr>
      <w:bookmarkStart w:id="13" w:name="_Toc3556"/>
      <w:bookmarkStart w:id="14" w:name="_Toc24705"/>
      <w:r>
        <w:rPr>
          <w:rFonts w:hint="eastAsia" w:hAnsi="宋体"/>
          <w:b/>
          <w:sz w:val="24"/>
          <w:szCs w:val="24"/>
          <w:lang w:val="en-US" w:eastAsia="zh-CN"/>
        </w:rPr>
        <w:t>一、</w:t>
      </w:r>
      <w:r>
        <w:rPr>
          <w:rFonts w:hint="eastAsia" w:hAnsi="宋体"/>
          <w:b/>
          <w:sz w:val="24"/>
          <w:szCs w:val="24"/>
        </w:rPr>
        <w:t>说明</w:t>
      </w:r>
      <w:bookmarkEnd w:id="13"/>
      <w:bookmarkEnd w:id="14"/>
    </w:p>
    <w:p>
      <w:pPr>
        <w:numPr>
          <w:ilvl w:val="0"/>
          <w:numId w:val="4"/>
        </w:numPr>
        <w:spacing w:before="0" w:after="0" w:line="480" w:lineRule="auto"/>
        <w:jc w:val="left"/>
        <w:outlineLvl w:val="9"/>
        <w:rPr>
          <w:rFonts w:ascii="宋体" w:hAnsi="宋体"/>
          <w:b w:val="0"/>
          <w:sz w:val="24"/>
          <w:szCs w:val="24"/>
        </w:rPr>
      </w:pPr>
      <w:bookmarkStart w:id="15" w:name="_Toc25232"/>
      <w:r>
        <w:rPr>
          <w:rFonts w:hint="eastAsia" w:ascii="宋体" w:hAnsi="宋体"/>
          <w:b w:val="0"/>
          <w:sz w:val="24"/>
          <w:szCs w:val="24"/>
          <w:lang w:val="en-US" w:eastAsia="zh-CN"/>
        </w:rPr>
        <w:t>适用范围</w:t>
      </w:r>
      <w:bookmarkEnd w:id="15"/>
    </w:p>
    <w:p>
      <w:pPr>
        <w:pStyle w:val="17"/>
        <w:spacing w:line="360" w:lineRule="auto"/>
        <w:ind w:firstLine="480" w:firstLineChars="200"/>
        <w:rPr>
          <w:rFonts w:hAnsi="宋体"/>
          <w:sz w:val="24"/>
          <w:szCs w:val="24"/>
        </w:rPr>
      </w:pPr>
      <w:r>
        <w:rPr>
          <w:rFonts w:hint="eastAsia" w:hAnsi="宋体"/>
          <w:sz w:val="24"/>
          <w:szCs w:val="24"/>
        </w:rPr>
        <w:t>本次采购依据采购单位的采购计划，仅适用于本竞争性磋商文件（以下简称“磋商文件”）中所叙述的项目。</w:t>
      </w:r>
    </w:p>
    <w:p>
      <w:pPr>
        <w:numPr>
          <w:ilvl w:val="0"/>
          <w:numId w:val="4"/>
        </w:numPr>
        <w:spacing w:before="0" w:after="0" w:line="360" w:lineRule="auto"/>
        <w:outlineLvl w:val="9"/>
        <w:rPr>
          <w:rFonts w:ascii="宋体" w:hAnsi="宋体"/>
          <w:b w:val="0"/>
          <w:sz w:val="24"/>
          <w:szCs w:val="24"/>
        </w:rPr>
      </w:pPr>
      <w:bookmarkStart w:id="16" w:name="_Toc31024"/>
      <w:bookmarkStart w:id="17" w:name="_Toc488673614"/>
      <w:r>
        <w:rPr>
          <w:rFonts w:hint="eastAsia" w:ascii="宋体" w:hAnsi="宋体"/>
          <w:b w:val="0"/>
          <w:sz w:val="24"/>
          <w:szCs w:val="24"/>
        </w:rPr>
        <w:t>采购方式、合格的磋商供应商</w:t>
      </w:r>
      <w:bookmarkEnd w:id="16"/>
      <w:bookmarkEnd w:id="17"/>
    </w:p>
    <w:p>
      <w:pPr>
        <w:pStyle w:val="17"/>
        <w:numPr>
          <w:ilvl w:val="1"/>
          <w:numId w:val="5"/>
        </w:numPr>
        <w:spacing w:line="360" w:lineRule="auto"/>
        <w:rPr>
          <w:rFonts w:hAnsi="宋体"/>
          <w:sz w:val="24"/>
          <w:szCs w:val="24"/>
        </w:rPr>
      </w:pPr>
      <w:r>
        <w:rPr>
          <w:rFonts w:hint="eastAsia" w:hAnsi="宋体"/>
          <w:sz w:val="24"/>
          <w:szCs w:val="24"/>
        </w:rPr>
        <w:t>本次磋商采取竞争性磋商方式；</w:t>
      </w:r>
    </w:p>
    <w:p>
      <w:pPr>
        <w:pStyle w:val="17"/>
        <w:numPr>
          <w:ilvl w:val="1"/>
          <w:numId w:val="5"/>
        </w:numPr>
        <w:spacing w:line="360" w:lineRule="auto"/>
        <w:rPr>
          <w:rFonts w:hAnsi="宋体"/>
          <w:sz w:val="24"/>
          <w:szCs w:val="24"/>
        </w:rPr>
      </w:pPr>
      <w:r>
        <w:rPr>
          <w:rFonts w:hAnsi="宋体" w:cs="Arial"/>
          <w:sz w:val="24"/>
          <w:szCs w:val="24"/>
        </w:rPr>
        <w:t>合格的供应商：</w:t>
      </w:r>
      <w:r>
        <w:rPr>
          <w:rFonts w:ascii="宋体" w:hAnsi="宋体" w:eastAsia="宋体" w:cs="宋体"/>
          <w:spacing w:val="2"/>
          <w:sz w:val="24"/>
          <w:szCs w:val="24"/>
        </w:rPr>
        <w:t>详见【供应商须知前附表】</w:t>
      </w:r>
      <w:r>
        <w:rPr>
          <w:rFonts w:ascii="宋体" w:hAnsi="宋体" w:eastAsia="宋体" w:cs="宋体"/>
          <w:color w:val="333333"/>
          <w:spacing w:val="2"/>
          <w:sz w:val="24"/>
          <w:szCs w:val="24"/>
        </w:rPr>
        <w:t>供应商资格条件。</w:t>
      </w:r>
    </w:p>
    <w:p>
      <w:pPr>
        <w:numPr>
          <w:ilvl w:val="0"/>
          <w:numId w:val="4"/>
        </w:numPr>
        <w:spacing w:before="0" w:after="0" w:line="360" w:lineRule="auto"/>
        <w:outlineLvl w:val="9"/>
        <w:rPr>
          <w:rFonts w:ascii="宋体" w:hAnsi="宋体"/>
          <w:b w:val="0"/>
          <w:sz w:val="24"/>
          <w:szCs w:val="24"/>
        </w:rPr>
      </w:pPr>
      <w:bookmarkStart w:id="18" w:name="_Toc488673615"/>
      <w:bookmarkStart w:id="19" w:name="_Toc1880"/>
      <w:r>
        <w:rPr>
          <w:rFonts w:hint="eastAsia" w:ascii="宋体" w:hAnsi="宋体"/>
          <w:b w:val="0"/>
          <w:sz w:val="24"/>
          <w:szCs w:val="24"/>
        </w:rPr>
        <w:t>磋商费用</w:t>
      </w:r>
      <w:bookmarkEnd w:id="18"/>
      <w:bookmarkEnd w:id="19"/>
    </w:p>
    <w:p>
      <w:pPr>
        <w:pStyle w:val="17"/>
        <w:spacing w:line="360" w:lineRule="auto"/>
        <w:ind w:firstLine="480" w:firstLineChars="200"/>
        <w:rPr>
          <w:rFonts w:hAnsi="宋体"/>
          <w:b/>
          <w:sz w:val="24"/>
          <w:szCs w:val="24"/>
        </w:rPr>
      </w:pPr>
      <w:r>
        <w:rPr>
          <w:rFonts w:hint="eastAsia" w:hAnsi="宋体"/>
          <w:sz w:val="24"/>
          <w:szCs w:val="24"/>
        </w:rPr>
        <w:t>供应商应自愿承担与参加本次磋商有关的费用。采购代理机构对供应商发生的费用不承担任何责任。</w:t>
      </w:r>
    </w:p>
    <w:p>
      <w:pPr>
        <w:tabs>
          <w:tab w:val="left" w:pos="425"/>
          <w:tab w:val="left" w:pos="720"/>
          <w:tab w:val="left" w:pos="1985"/>
          <w:tab w:val="left" w:pos="7088"/>
        </w:tabs>
        <w:spacing w:line="480" w:lineRule="auto"/>
        <w:ind w:left="709"/>
        <w:jc w:val="center"/>
        <w:outlineLvl w:val="1"/>
        <w:rPr>
          <w:rFonts w:hAnsi="宋体"/>
          <w:b/>
          <w:sz w:val="24"/>
          <w:szCs w:val="24"/>
        </w:rPr>
      </w:pPr>
      <w:bookmarkStart w:id="20" w:name="_Toc25296"/>
      <w:r>
        <w:rPr>
          <w:rFonts w:hint="eastAsia" w:hAnsi="宋体"/>
          <w:b/>
          <w:sz w:val="24"/>
          <w:szCs w:val="24"/>
          <w:lang w:val="en-US" w:eastAsia="zh-CN"/>
        </w:rPr>
        <w:t>二、</w:t>
      </w:r>
      <w:r>
        <w:rPr>
          <w:rFonts w:hint="eastAsia" w:hAnsi="宋体"/>
          <w:b/>
          <w:sz w:val="24"/>
          <w:szCs w:val="24"/>
        </w:rPr>
        <w:t>磋商文件说明</w:t>
      </w:r>
      <w:bookmarkEnd w:id="20"/>
    </w:p>
    <w:p>
      <w:pPr>
        <w:numPr>
          <w:ilvl w:val="0"/>
          <w:numId w:val="4"/>
        </w:numPr>
        <w:spacing w:before="0" w:after="0" w:line="480" w:lineRule="auto"/>
        <w:outlineLvl w:val="9"/>
        <w:rPr>
          <w:rFonts w:ascii="宋体" w:hAnsi="宋体"/>
          <w:b w:val="0"/>
          <w:sz w:val="24"/>
          <w:szCs w:val="24"/>
        </w:rPr>
      </w:pPr>
      <w:bookmarkStart w:id="21" w:name="_Toc488673617"/>
      <w:bookmarkStart w:id="22" w:name="_Toc30460"/>
      <w:r>
        <w:rPr>
          <w:rFonts w:hint="eastAsia" w:ascii="宋体" w:hAnsi="宋体"/>
          <w:b w:val="0"/>
          <w:sz w:val="24"/>
          <w:szCs w:val="24"/>
        </w:rPr>
        <w:t>磋商文件的构成</w:t>
      </w:r>
      <w:bookmarkEnd w:id="21"/>
      <w:bookmarkEnd w:id="22"/>
    </w:p>
    <w:p>
      <w:pPr>
        <w:pStyle w:val="17"/>
        <w:numPr>
          <w:ilvl w:val="1"/>
          <w:numId w:val="6"/>
        </w:numPr>
        <w:spacing w:line="360" w:lineRule="auto"/>
        <w:rPr>
          <w:rFonts w:hAnsi="宋体"/>
          <w:sz w:val="24"/>
          <w:szCs w:val="24"/>
        </w:rPr>
      </w:pPr>
      <w:r>
        <w:rPr>
          <w:rFonts w:hint="eastAsia" w:hAnsi="宋体"/>
          <w:sz w:val="24"/>
          <w:szCs w:val="24"/>
        </w:rPr>
        <w:t>磋商文件包括：</w:t>
      </w:r>
    </w:p>
    <w:p>
      <w:pPr>
        <w:pStyle w:val="17"/>
        <w:numPr>
          <w:ilvl w:val="0"/>
          <w:numId w:val="7"/>
        </w:numPr>
        <w:spacing w:line="360" w:lineRule="auto"/>
        <w:rPr>
          <w:rFonts w:hAnsi="宋体" w:cs="Arial"/>
          <w:sz w:val="24"/>
          <w:szCs w:val="24"/>
        </w:rPr>
      </w:pPr>
      <w:r>
        <w:rPr>
          <w:rFonts w:hint="eastAsia" w:hAnsi="宋体" w:cs="Arial"/>
          <w:sz w:val="24"/>
          <w:szCs w:val="24"/>
        </w:rPr>
        <w:t>磋商邀请；</w:t>
      </w:r>
    </w:p>
    <w:p>
      <w:pPr>
        <w:pStyle w:val="17"/>
        <w:numPr>
          <w:ilvl w:val="0"/>
          <w:numId w:val="7"/>
        </w:numPr>
        <w:spacing w:line="360" w:lineRule="auto"/>
        <w:rPr>
          <w:rFonts w:hAnsi="宋体" w:cs="Arial"/>
          <w:sz w:val="24"/>
          <w:szCs w:val="24"/>
        </w:rPr>
      </w:pPr>
      <w:r>
        <w:rPr>
          <w:rFonts w:hint="eastAsia" w:hAnsi="宋体" w:cs="Arial"/>
          <w:sz w:val="24"/>
          <w:szCs w:val="24"/>
        </w:rPr>
        <w:t>供应商须知前附表；</w:t>
      </w:r>
    </w:p>
    <w:p>
      <w:pPr>
        <w:pStyle w:val="17"/>
        <w:numPr>
          <w:ilvl w:val="0"/>
          <w:numId w:val="7"/>
        </w:numPr>
        <w:spacing w:line="360" w:lineRule="auto"/>
        <w:rPr>
          <w:rFonts w:hAnsi="宋体" w:cs="Arial"/>
          <w:sz w:val="24"/>
          <w:szCs w:val="24"/>
        </w:rPr>
      </w:pPr>
      <w:r>
        <w:rPr>
          <w:rFonts w:hint="eastAsia" w:hAnsi="宋体" w:cs="Arial"/>
          <w:sz w:val="24"/>
          <w:szCs w:val="24"/>
        </w:rPr>
        <w:t>供应商须知；</w:t>
      </w:r>
    </w:p>
    <w:p>
      <w:pPr>
        <w:pStyle w:val="17"/>
        <w:numPr>
          <w:ilvl w:val="0"/>
          <w:numId w:val="7"/>
        </w:numPr>
        <w:spacing w:line="360" w:lineRule="auto"/>
        <w:rPr>
          <w:rFonts w:hAnsi="宋体" w:cs="Arial"/>
          <w:sz w:val="24"/>
          <w:szCs w:val="24"/>
        </w:rPr>
      </w:pPr>
      <w:r>
        <w:rPr>
          <w:rFonts w:hint="eastAsia" w:hAnsi="宋体" w:cs="Arial"/>
          <w:sz w:val="24"/>
          <w:szCs w:val="24"/>
        </w:rPr>
        <w:t>青海省政府采购合同文本样式；</w:t>
      </w:r>
    </w:p>
    <w:p>
      <w:pPr>
        <w:pStyle w:val="17"/>
        <w:numPr>
          <w:ilvl w:val="0"/>
          <w:numId w:val="7"/>
        </w:numPr>
        <w:spacing w:line="360" w:lineRule="auto"/>
        <w:rPr>
          <w:rFonts w:hAnsi="宋体" w:cs="Arial"/>
          <w:sz w:val="24"/>
          <w:szCs w:val="24"/>
        </w:rPr>
      </w:pPr>
      <w:r>
        <w:rPr>
          <w:rFonts w:hint="eastAsia" w:hAnsi="宋体" w:cs="Arial"/>
          <w:sz w:val="24"/>
          <w:szCs w:val="24"/>
        </w:rPr>
        <w:t>响应文件格式；</w:t>
      </w:r>
    </w:p>
    <w:p>
      <w:pPr>
        <w:pStyle w:val="17"/>
        <w:numPr>
          <w:ilvl w:val="0"/>
          <w:numId w:val="7"/>
        </w:numPr>
        <w:spacing w:line="360" w:lineRule="auto"/>
        <w:rPr>
          <w:rFonts w:hAnsi="宋体" w:cs="Arial"/>
          <w:sz w:val="24"/>
          <w:szCs w:val="24"/>
        </w:rPr>
      </w:pPr>
      <w:r>
        <w:rPr>
          <w:rFonts w:hint="eastAsia" w:hAnsi="宋体" w:cs="Arial"/>
          <w:sz w:val="24"/>
          <w:szCs w:val="24"/>
        </w:rPr>
        <w:t>采购项目要求及技术参数；</w:t>
      </w:r>
    </w:p>
    <w:p>
      <w:pPr>
        <w:pStyle w:val="17"/>
        <w:numPr>
          <w:ilvl w:val="0"/>
          <w:numId w:val="7"/>
        </w:numPr>
        <w:spacing w:line="360" w:lineRule="auto"/>
        <w:rPr>
          <w:rFonts w:hAnsi="宋体" w:cs="Arial"/>
          <w:sz w:val="24"/>
          <w:szCs w:val="24"/>
        </w:rPr>
      </w:pPr>
      <w:r>
        <w:rPr>
          <w:rFonts w:hint="eastAsia" w:hAnsi="宋体" w:cs="Arial"/>
          <w:sz w:val="24"/>
          <w:szCs w:val="24"/>
        </w:rPr>
        <w:t>采购过程中发生的澄清、变更和补充文件；</w:t>
      </w:r>
    </w:p>
    <w:p>
      <w:pPr>
        <w:pStyle w:val="17"/>
        <w:numPr>
          <w:ilvl w:val="1"/>
          <w:numId w:val="6"/>
        </w:numPr>
        <w:spacing w:line="360" w:lineRule="auto"/>
        <w:rPr>
          <w:rFonts w:hAnsi="宋体"/>
          <w:sz w:val="24"/>
          <w:szCs w:val="24"/>
        </w:rPr>
      </w:pPr>
      <w:r>
        <w:rPr>
          <w:rFonts w:hint="eastAsia" w:hAnsi="宋体"/>
          <w:sz w:val="24"/>
          <w:szCs w:val="24"/>
        </w:rPr>
        <w:t>供应商应认真阅读磋商文件中列示的事项、格式、条款和要求等内容。如果供应商未按磋商文件要求提交全部资料，或者对磋商文件未作出实质性响应的，根据相关法规要求，此类磋商将被拒绝（视为无效磋商）。</w:t>
      </w:r>
    </w:p>
    <w:p>
      <w:pPr>
        <w:numPr>
          <w:ilvl w:val="0"/>
          <w:numId w:val="4"/>
        </w:numPr>
        <w:spacing w:before="0" w:after="0" w:line="360" w:lineRule="auto"/>
        <w:outlineLvl w:val="9"/>
        <w:rPr>
          <w:rFonts w:ascii="宋体" w:hAnsi="宋体"/>
          <w:b w:val="0"/>
          <w:sz w:val="24"/>
          <w:szCs w:val="24"/>
        </w:rPr>
      </w:pPr>
      <w:bookmarkStart w:id="23" w:name="_Toc26920"/>
      <w:bookmarkStart w:id="24" w:name="_Toc488673618"/>
      <w:r>
        <w:rPr>
          <w:rFonts w:hint="eastAsia" w:ascii="宋体" w:hAnsi="宋体"/>
          <w:b w:val="0"/>
          <w:sz w:val="24"/>
          <w:szCs w:val="24"/>
        </w:rPr>
        <w:t>磋商文件、磋商活动和成交结果的质疑</w:t>
      </w:r>
      <w:bookmarkEnd w:id="23"/>
      <w:bookmarkEnd w:id="24"/>
    </w:p>
    <w:p>
      <w:pPr>
        <w:pStyle w:val="17"/>
        <w:numPr>
          <w:ilvl w:val="1"/>
          <w:numId w:val="8"/>
        </w:numPr>
        <w:spacing w:line="360" w:lineRule="auto"/>
        <w:rPr>
          <w:rFonts w:hAnsi="宋体"/>
          <w:sz w:val="24"/>
          <w:szCs w:val="24"/>
        </w:rPr>
      </w:pPr>
      <w:r>
        <w:rPr>
          <w:rFonts w:hint="eastAsia" w:hAnsi="宋体"/>
          <w:sz w:val="24"/>
          <w:szCs w:val="24"/>
        </w:rPr>
        <w:t>参加磋商的供应商认为磋商文件、磋商活动和成交、成交结果使自己的权益受到损害的，可以在知道或者应知其权益受到损害之日起7个工作日内以书面形式（如信件、传真等）向采购单位或者采购代理机构提出质疑，不接受匿名质疑。潜在供应商已依法获取其可质疑的磋商文件的，可以对该文件提出质疑，对磋商文件提出质疑的，应当在获取磋商文件或者磋商文件公告期限届满之日起7个工作日内提出。供应商须在法定质疑期内一次性提出针对同一采购程序环节的质疑。采购人或采购代理机构在收到书面质疑函后7个工作日内作出答复。</w:t>
      </w:r>
    </w:p>
    <w:p>
      <w:pPr>
        <w:pStyle w:val="17"/>
        <w:numPr>
          <w:ilvl w:val="1"/>
          <w:numId w:val="8"/>
        </w:numPr>
        <w:spacing w:line="360" w:lineRule="auto"/>
        <w:rPr>
          <w:rFonts w:hAnsi="宋体"/>
          <w:sz w:val="24"/>
          <w:szCs w:val="24"/>
        </w:rPr>
      </w:pPr>
      <w:r>
        <w:rPr>
          <w:rFonts w:hint="eastAsia" w:hAnsi="宋体"/>
          <w:sz w:val="24"/>
          <w:szCs w:val="24"/>
        </w:rPr>
        <w:t>参与采购活动的</w:t>
      </w:r>
      <w:r>
        <w:rPr>
          <w:rFonts w:hint="eastAsia" w:hAnsi="宋体"/>
          <w:sz w:val="24"/>
          <w:szCs w:val="24"/>
          <w:lang w:eastAsia="zh-CN"/>
        </w:rPr>
        <w:t>供应商</w:t>
      </w:r>
      <w:r>
        <w:rPr>
          <w:rFonts w:hint="eastAsia" w:hAnsi="宋体"/>
          <w:sz w:val="24"/>
          <w:szCs w:val="24"/>
        </w:rPr>
        <w:t>对评审过程或者结果提出质疑的，采购人或采购代理机构可以组织原评审委员会协助处理质疑事项，并依据评审委员会出具的意见进行答复。质疑事项处理完成后，采购人或采购代理机构应按照规定填写《青海省政府采购</w:t>
      </w:r>
      <w:r>
        <w:rPr>
          <w:rFonts w:hint="eastAsia" w:hAnsi="宋体"/>
          <w:sz w:val="24"/>
          <w:szCs w:val="24"/>
          <w:lang w:eastAsia="zh-CN"/>
        </w:rPr>
        <w:t>供应商</w:t>
      </w:r>
      <w:r>
        <w:rPr>
          <w:rFonts w:hint="eastAsia" w:hAnsi="宋体"/>
          <w:sz w:val="24"/>
          <w:szCs w:val="24"/>
        </w:rPr>
        <w:t>质疑处理情况表》，并在15日内报同级政府采购监督管理部门备案。</w:t>
      </w:r>
    </w:p>
    <w:p>
      <w:pPr>
        <w:pStyle w:val="17"/>
        <w:numPr>
          <w:ilvl w:val="1"/>
          <w:numId w:val="8"/>
        </w:numPr>
        <w:spacing w:line="360" w:lineRule="auto"/>
        <w:rPr>
          <w:rFonts w:hAnsi="宋体"/>
          <w:sz w:val="24"/>
          <w:szCs w:val="24"/>
        </w:rPr>
      </w:pPr>
      <w:r>
        <w:rPr>
          <w:rFonts w:hint="eastAsia" w:hAnsi="宋体"/>
          <w:sz w:val="24"/>
          <w:szCs w:val="24"/>
        </w:rPr>
        <w:t>质疑时效期间的计算</w:t>
      </w:r>
    </w:p>
    <w:p>
      <w:pPr>
        <w:pStyle w:val="17"/>
        <w:numPr>
          <w:ilvl w:val="0"/>
          <w:numId w:val="9"/>
        </w:numPr>
        <w:spacing w:line="360" w:lineRule="auto"/>
        <w:rPr>
          <w:rFonts w:hAnsi="宋体" w:cs="Arial"/>
          <w:sz w:val="24"/>
          <w:szCs w:val="24"/>
        </w:rPr>
      </w:pPr>
      <w:r>
        <w:rPr>
          <w:rFonts w:hint="eastAsia" w:hAnsi="宋体" w:cs="Arial"/>
          <w:sz w:val="24"/>
          <w:szCs w:val="24"/>
        </w:rPr>
        <w:t>对可以质疑的磋商文件提出质疑的，为收到磋商文件之日或磋商文件公告期限届满之日；</w:t>
      </w:r>
    </w:p>
    <w:p>
      <w:pPr>
        <w:pStyle w:val="17"/>
        <w:numPr>
          <w:ilvl w:val="0"/>
          <w:numId w:val="9"/>
        </w:numPr>
        <w:spacing w:line="360" w:lineRule="auto"/>
        <w:rPr>
          <w:rFonts w:hAnsi="宋体" w:cs="Arial"/>
          <w:sz w:val="24"/>
          <w:szCs w:val="24"/>
        </w:rPr>
      </w:pPr>
      <w:r>
        <w:rPr>
          <w:rFonts w:hint="eastAsia" w:hAnsi="宋体" w:cs="Arial"/>
          <w:sz w:val="24"/>
          <w:szCs w:val="24"/>
        </w:rPr>
        <w:t>对磋商过程提出质疑的，为磋商程序各环节结束之日；</w:t>
      </w:r>
    </w:p>
    <w:p>
      <w:pPr>
        <w:pStyle w:val="17"/>
        <w:numPr>
          <w:ilvl w:val="0"/>
          <w:numId w:val="9"/>
        </w:numPr>
        <w:spacing w:line="360" w:lineRule="auto"/>
        <w:rPr>
          <w:rFonts w:hAnsi="宋体" w:cs="Arial"/>
          <w:sz w:val="24"/>
          <w:szCs w:val="24"/>
        </w:rPr>
      </w:pPr>
      <w:r>
        <w:rPr>
          <w:rFonts w:hint="eastAsia" w:hAnsi="宋体" w:cs="Arial"/>
          <w:sz w:val="24"/>
          <w:szCs w:val="24"/>
        </w:rPr>
        <w:t>对成交结果提出质疑的，为成交公告期限届满之日。</w:t>
      </w:r>
    </w:p>
    <w:p>
      <w:pPr>
        <w:numPr>
          <w:ilvl w:val="0"/>
          <w:numId w:val="4"/>
        </w:numPr>
        <w:spacing w:before="0" w:after="0" w:line="360" w:lineRule="auto"/>
        <w:outlineLvl w:val="9"/>
        <w:rPr>
          <w:rFonts w:ascii="宋体" w:hAnsi="宋体"/>
          <w:b w:val="0"/>
          <w:sz w:val="24"/>
          <w:szCs w:val="24"/>
        </w:rPr>
      </w:pPr>
      <w:bookmarkStart w:id="25" w:name="_Toc24842"/>
      <w:bookmarkStart w:id="26" w:name="_Toc488673619"/>
      <w:r>
        <w:rPr>
          <w:rFonts w:hint="eastAsia" w:ascii="宋体" w:hAnsi="宋体"/>
          <w:b w:val="0"/>
          <w:sz w:val="24"/>
          <w:szCs w:val="24"/>
        </w:rPr>
        <w:t>磋商文件的修改</w:t>
      </w:r>
      <w:bookmarkEnd w:id="25"/>
      <w:bookmarkEnd w:id="26"/>
    </w:p>
    <w:p>
      <w:pPr>
        <w:pStyle w:val="17"/>
        <w:numPr>
          <w:ilvl w:val="1"/>
          <w:numId w:val="10"/>
        </w:numPr>
        <w:spacing w:line="360" w:lineRule="auto"/>
        <w:rPr>
          <w:rFonts w:hAnsi="宋体"/>
          <w:sz w:val="24"/>
          <w:szCs w:val="24"/>
        </w:rPr>
      </w:pPr>
      <w:r>
        <w:rPr>
          <w:rFonts w:hint="eastAsia" w:hAnsi="宋体"/>
          <w:sz w:val="24"/>
          <w:szCs w:val="24"/>
        </w:rPr>
        <w:t>在磋商截止期前，采购单位或采购代理机构可对磋商文件进行必要的修改或者澄清；</w:t>
      </w:r>
    </w:p>
    <w:p>
      <w:pPr>
        <w:pStyle w:val="17"/>
        <w:numPr>
          <w:ilvl w:val="1"/>
          <w:numId w:val="10"/>
        </w:numPr>
        <w:spacing w:line="360" w:lineRule="auto"/>
        <w:rPr>
          <w:rFonts w:hAnsi="宋体"/>
          <w:sz w:val="24"/>
          <w:szCs w:val="24"/>
        </w:rPr>
      </w:pPr>
      <w:r>
        <w:rPr>
          <w:rFonts w:hint="eastAsia" w:hAnsi="宋体"/>
          <w:sz w:val="24"/>
          <w:szCs w:val="24"/>
        </w:rPr>
        <w:t>采购代理机构对已发出的磋商文件进行必要的澄清或者修改的，澄清或者修改的内容可能影响磋商响应文件编制的，在磋商文件要求提交磋商响应文件截止时间</w:t>
      </w:r>
      <w:r>
        <w:rPr>
          <w:rFonts w:hAnsi="宋体"/>
          <w:sz w:val="24"/>
          <w:szCs w:val="24"/>
        </w:rPr>
        <w:t>5</w:t>
      </w:r>
      <w:r>
        <w:rPr>
          <w:rFonts w:hint="eastAsia" w:hAnsi="宋体"/>
          <w:sz w:val="24"/>
          <w:szCs w:val="24"/>
        </w:rPr>
        <w:t>日前，在青海政府采购网、</w:t>
      </w:r>
      <w:r>
        <w:rPr>
          <w:rFonts w:hint="eastAsia" w:hAnsi="宋体"/>
          <w:sz w:val="24"/>
          <w:szCs w:val="24"/>
          <w:lang w:val="en-US" w:eastAsia="zh-CN"/>
        </w:rPr>
        <w:t>青海省公共资源交易服务平台</w:t>
      </w:r>
      <w:r>
        <w:rPr>
          <w:rFonts w:hint="eastAsia" w:hAnsi="宋体"/>
          <w:sz w:val="24"/>
          <w:szCs w:val="24"/>
        </w:rPr>
        <w:t>等媒体上发布公告。不足</w:t>
      </w:r>
      <w:r>
        <w:rPr>
          <w:rFonts w:hAnsi="宋体"/>
          <w:sz w:val="24"/>
          <w:szCs w:val="24"/>
        </w:rPr>
        <w:t>5</w:t>
      </w:r>
      <w:r>
        <w:rPr>
          <w:rFonts w:hint="eastAsia" w:hAnsi="宋体"/>
          <w:sz w:val="24"/>
          <w:szCs w:val="24"/>
        </w:rPr>
        <w:t>日的，顺延提交磋商响应文件的截止时间。该澄清或者修改的内容为磋商文件的组成部分；</w:t>
      </w:r>
    </w:p>
    <w:p>
      <w:pPr>
        <w:pStyle w:val="17"/>
        <w:numPr>
          <w:ilvl w:val="1"/>
          <w:numId w:val="10"/>
        </w:numPr>
        <w:spacing w:line="360" w:lineRule="auto"/>
        <w:rPr>
          <w:rFonts w:hAnsi="宋体"/>
          <w:sz w:val="24"/>
          <w:szCs w:val="24"/>
        </w:rPr>
      </w:pPr>
      <w:r>
        <w:rPr>
          <w:rFonts w:hint="eastAsia" w:hAnsi="宋体"/>
          <w:sz w:val="24"/>
          <w:szCs w:val="24"/>
        </w:rPr>
        <w:t>在磋商截止时间前，采购单位或采购代理机构可以视采购具体情况，延长磋商截止时间和磋商时间，并在磋商文件要求提交磋商响应文件的截止时间3日前，将变更时间以书面形式通知所有购买了磋商文件的潜在磋商供应商，同时在发布本次磋商公告的网站发布变更公告。</w:t>
      </w:r>
    </w:p>
    <w:p>
      <w:pPr>
        <w:tabs>
          <w:tab w:val="left" w:pos="425"/>
          <w:tab w:val="left" w:pos="720"/>
          <w:tab w:val="left" w:pos="1985"/>
          <w:tab w:val="left" w:pos="7088"/>
        </w:tabs>
        <w:spacing w:line="480" w:lineRule="auto"/>
        <w:ind w:left="709"/>
        <w:jc w:val="center"/>
        <w:outlineLvl w:val="1"/>
        <w:rPr>
          <w:rFonts w:hAnsi="宋体"/>
          <w:b/>
          <w:sz w:val="24"/>
          <w:szCs w:val="24"/>
        </w:rPr>
      </w:pPr>
      <w:bookmarkStart w:id="27" w:name="_Toc2577"/>
      <w:r>
        <w:rPr>
          <w:rFonts w:hint="eastAsia" w:hAnsi="宋体"/>
          <w:b/>
          <w:sz w:val="24"/>
          <w:szCs w:val="24"/>
          <w:lang w:val="en-US" w:eastAsia="zh-CN"/>
        </w:rPr>
        <w:t>三、</w:t>
      </w:r>
      <w:r>
        <w:rPr>
          <w:rFonts w:hint="eastAsia" w:hAnsi="宋体"/>
          <w:b/>
          <w:sz w:val="24"/>
          <w:szCs w:val="24"/>
        </w:rPr>
        <w:t>响应文件的编写</w:t>
      </w:r>
      <w:bookmarkEnd w:id="27"/>
    </w:p>
    <w:p>
      <w:pPr>
        <w:numPr>
          <w:ilvl w:val="0"/>
          <w:numId w:val="4"/>
        </w:numPr>
        <w:spacing w:before="0" w:after="0" w:line="480" w:lineRule="auto"/>
        <w:outlineLvl w:val="9"/>
        <w:rPr>
          <w:rFonts w:ascii="宋体" w:hAnsi="宋体"/>
          <w:b w:val="0"/>
          <w:sz w:val="24"/>
          <w:szCs w:val="24"/>
        </w:rPr>
      </w:pPr>
      <w:bookmarkStart w:id="28" w:name="_Toc488673621"/>
      <w:bookmarkStart w:id="29" w:name="_Toc6434"/>
      <w:r>
        <w:rPr>
          <w:rFonts w:hint="eastAsia" w:ascii="宋体" w:hAnsi="宋体"/>
          <w:b w:val="0"/>
          <w:sz w:val="24"/>
          <w:szCs w:val="24"/>
        </w:rPr>
        <w:t>响应文件的语言及度量衡单位</w:t>
      </w:r>
      <w:bookmarkEnd w:id="28"/>
      <w:bookmarkEnd w:id="29"/>
    </w:p>
    <w:p>
      <w:pPr>
        <w:pStyle w:val="17"/>
        <w:numPr>
          <w:ilvl w:val="1"/>
          <w:numId w:val="11"/>
        </w:numPr>
        <w:spacing w:line="360" w:lineRule="auto"/>
        <w:rPr>
          <w:rFonts w:hAnsi="宋体"/>
          <w:sz w:val="24"/>
          <w:szCs w:val="24"/>
        </w:rPr>
      </w:pPr>
      <w:r>
        <w:rPr>
          <w:rFonts w:hint="eastAsia" w:hAnsi="宋体"/>
          <w:sz w:val="24"/>
          <w:szCs w:val="24"/>
        </w:rPr>
        <w:t>供应商提交的响应文件以及供应商与采购代理机构就此磋商发生的所有来往函电均应使用简体中文；</w:t>
      </w:r>
    </w:p>
    <w:p>
      <w:pPr>
        <w:pStyle w:val="17"/>
        <w:numPr>
          <w:ilvl w:val="1"/>
          <w:numId w:val="11"/>
        </w:numPr>
        <w:spacing w:line="360" w:lineRule="auto"/>
        <w:rPr>
          <w:rFonts w:hAnsi="宋体"/>
          <w:sz w:val="24"/>
          <w:szCs w:val="24"/>
        </w:rPr>
      </w:pPr>
      <w:r>
        <w:rPr>
          <w:rFonts w:hint="eastAsia" w:hAnsi="宋体"/>
          <w:sz w:val="24"/>
          <w:szCs w:val="24"/>
        </w:rPr>
        <w:t>除磋商文件中另有规定外，磋商文件所使用的度量衡单位，均须采用国家法定计量单位；</w:t>
      </w:r>
    </w:p>
    <w:p>
      <w:pPr>
        <w:pStyle w:val="17"/>
        <w:numPr>
          <w:ilvl w:val="1"/>
          <w:numId w:val="11"/>
        </w:numPr>
        <w:spacing w:line="360" w:lineRule="auto"/>
        <w:rPr>
          <w:rFonts w:hAnsi="宋体"/>
          <w:sz w:val="24"/>
          <w:szCs w:val="24"/>
        </w:rPr>
      </w:pPr>
      <w:r>
        <w:rPr>
          <w:rFonts w:hint="eastAsia" w:hAnsi="宋体"/>
          <w:sz w:val="24"/>
          <w:szCs w:val="24"/>
        </w:rPr>
        <w:t>附有外文资料的须翻译成中文，并加盖磋商供应商公章，如果翻译的中文资料与外文资料出现差异与矛盾时，以中文为准，其准确性由磋商供应商负责。</w:t>
      </w:r>
    </w:p>
    <w:p>
      <w:pPr>
        <w:numPr>
          <w:ilvl w:val="0"/>
          <w:numId w:val="4"/>
        </w:numPr>
        <w:spacing w:before="0" w:after="0" w:line="360" w:lineRule="auto"/>
        <w:outlineLvl w:val="9"/>
        <w:rPr>
          <w:rFonts w:ascii="宋体" w:hAnsi="宋体"/>
          <w:b w:val="0"/>
          <w:sz w:val="24"/>
          <w:szCs w:val="24"/>
        </w:rPr>
      </w:pPr>
      <w:bookmarkStart w:id="30" w:name="_Toc488673622"/>
      <w:bookmarkStart w:id="31" w:name="_Toc12495"/>
      <w:r>
        <w:rPr>
          <w:rFonts w:hint="eastAsia" w:ascii="宋体" w:hAnsi="宋体"/>
          <w:b w:val="0"/>
          <w:sz w:val="24"/>
          <w:szCs w:val="24"/>
        </w:rPr>
        <w:t>磋商报价及币种</w:t>
      </w:r>
      <w:bookmarkEnd w:id="30"/>
      <w:bookmarkEnd w:id="31"/>
    </w:p>
    <w:p>
      <w:pPr>
        <w:pStyle w:val="17"/>
        <w:numPr>
          <w:ilvl w:val="1"/>
          <w:numId w:val="12"/>
        </w:numPr>
        <w:spacing w:line="360" w:lineRule="auto"/>
        <w:rPr>
          <w:rFonts w:hAnsi="宋体"/>
          <w:sz w:val="24"/>
          <w:szCs w:val="24"/>
        </w:rPr>
      </w:pPr>
      <w:r>
        <w:rPr>
          <w:rFonts w:hint="eastAsia" w:hAnsi="宋体"/>
          <w:sz w:val="24"/>
          <w:szCs w:val="24"/>
        </w:rPr>
        <w:t>磋商报价为磋商总价。磋商报价必须包括：</w:t>
      </w:r>
      <w:bookmarkStart w:id="32" w:name="_Hlk497466989"/>
      <w:r>
        <w:rPr>
          <w:rFonts w:hint="eastAsia" w:hAnsi="宋体"/>
          <w:sz w:val="24"/>
        </w:rPr>
        <w:t>产品费、检验费、手续费、保险费、售后服务费、税金、招标代理费以及其他不可预见费等全部费用</w:t>
      </w:r>
      <w:r>
        <w:rPr>
          <w:rFonts w:hint="eastAsia" w:hAnsi="宋体"/>
          <w:sz w:val="24"/>
          <w:szCs w:val="24"/>
        </w:rPr>
        <w:t>。（说明：具体内容应根据项目特点实事求是的填写）</w:t>
      </w:r>
      <w:bookmarkEnd w:id="32"/>
    </w:p>
    <w:p>
      <w:pPr>
        <w:pStyle w:val="17"/>
        <w:numPr>
          <w:ilvl w:val="1"/>
          <w:numId w:val="12"/>
        </w:numPr>
        <w:spacing w:line="360" w:lineRule="auto"/>
        <w:rPr>
          <w:rFonts w:hAnsi="宋体"/>
          <w:sz w:val="24"/>
          <w:szCs w:val="24"/>
        </w:rPr>
      </w:pPr>
      <w:r>
        <w:rPr>
          <w:rFonts w:hint="eastAsia" w:hAnsi="宋体"/>
          <w:sz w:val="24"/>
          <w:szCs w:val="24"/>
        </w:rPr>
        <w:t>磋商报价应注明有效期，有效期应与磋商有效期一致；</w:t>
      </w:r>
    </w:p>
    <w:p>
      <w:pPr>
        <w:pStyle w:val="17"/>
        <w:numPr>
          <w:ilvl w:val="1"/>
          <w:numId w:val="12"/>
        </w:numPr>
        <w:spacing w:line="360" w:lineRule="auto"/>
        <w:rPr>
          <w:rFonts w:hAnsi="宋体"/>
          <w:sz w:val="24"/>
          <w:szCs w:val="24"/>
        </w:rPr>
      </w:pPr>
      <w:r>
        <w:rPr>
          <w:rFonts w:hint="eastAsia" w:hAnsi="宋体"/>
          <w:sz w:val="24"/>
          <w:szCs w:val="24"/>
        </w:rPr>
        <w:t>供应商应根据磋商文件规定的格式完整填写所有内容，并保证所提供的全部资料真实可靠，自愿承担相应责任；</w:t>
      </w:r>
    </w:p>
    <w:p>
      <w:pPr>
        <w:pStyle w:val="17"/>
        <w:numPr>
          <w:ilvl w:val="1"/>
          <w:numId w:val="12"/>
        </w:numPr>
        <w:spacing w:line="360" w:lineRule="auto"/>
        <w:rPr>
          <w:rFonts w:hAnsi="宋体"/>
          <w:sz w:val="24"/>
          <w:szCs w:val="24"/>
        </w:rPr>
      </w:pPr>
      <w:r>
        <w:rPr>
          <w:rFonts w:hint="eastAsia" w:hAnsi="宋体"/>
          <w:sz w:val="24"/>
          <w:szCs w:val="24"/>
        </w:rPr>
        <w:t>磋商报价为闭口价，即成交后在合同有效期内价格不变；</w:t>
      </w:r>
    </w:p>
    <w:p>
      <w:pPr>
        <w:pStyle w:val="17"/>
        <w:numPr>
          <w:ilvl w:val="1"/>
          <w:numId w:val="12"/>
        </w:numPr>
        <w:spacing w:line="360" w:lineRule="auto"/>
        <w:rPr>
          <w:rFonts w:hAnsi="宋体"/>
          <w:sz w:val="24"/>
          <w:szCs w:val="24"/>
        </w:rPr>
      </w:pPr>
      <w:r>
        <w:rPr>
          <w:rFonts w:hint="eastAsia" w:hAnsi="宋体"/>
          <w:sz w:val="24"/>
          <w:szCs w:val="24"/>
        </w:rPr>
        <w:t>磋商币种为人民币。</w:t>
      </w:r>
    </w:p>
    <w:p>
      <w:pPr>
        <w:numPr>
          <w:ilvl w:val="0"/>
          <w:numId w:val="4"/>
        </w:numPr>
        <w:spacing w:before="0" w:after="0" w:line="360" w:lineRule="auto"/>
        <w:outlineLvl w:val="9"/>
        <w:rPr>
          <w:rFonts w:ascii="宋体" w:hAnsi="宋体"/>
          <w:b w:val="0"/>
          <w:sz w:val="24"/>
          <w:szCs w:val="24"/>
        </w:rPr>
      </w:pPr>
      <w:bookmarkStart w:id="33" w:name="_Toc488673623"/>
      <w:bookmarkStart w:id="34" w:name="_Toc3160"/>
      <w:r>
        <w:rPr>
          <w:rFonts w:hint="eastAsia" w:ascii="宋体" w:hAnsi="宋体"/>
          <w:b w:val="0"/>
          <w:sz w:val="24"/>
          <w:szCs w:val="24"/>
        </w:rPr>
        <w:t>磋商保证金</w:t>
      </w:r>
      <w:bookmarkEnd w:id="33"/>
      <w:r>
        <w:rPr>
          <w:rFonts w:hint="eastAsia" w:ascii="宋体" w:hAnsi="宋体"/>
          <w:b w:val="0"/>
          <w:sz w:val="24"/>
          <w:szCs w:val="24"/>
          <w:lang w:eastAsia="zh-CN"/>
        </w:rPr>
        <w:t>（</w:t>
      </w:r>
      <w:r>
        <w:rPr>
          <w:rFonts w:hint="eastAsia" w:ascii="宋体" w:hAnsi="宋体"/>
          <w:b w:val="0"/>
          <w:sz w:val="24"/>
          <w:szCs w:val="24"/>
          <w:lang w:val="en-US" w:eastAsia="zh-CN"/>
        </w:rPr>
        <w:t>本项目不适用</w:t>
      </w:r>
      <w:r>
        <w:rPr>
          <w:rFonts w:hint="eastAsia" w:ascii="宋体" w:hAnsi="宋体"/>
          <w:b w:val="0"/>
          <w:sz w:val="24"/>
          <w:szCs w:val="24"/>
          <w:lang w:eastAsia="zh-CN"/>
        </w:rPr>
        <w:t>）</w:t>
      </w:r>
      <w:bookmarkEnd w:id="34"/>
    </w:p>
    <w:p>
      <w:pPr>
        <w:pStyle w:val="17"/>
        <w:numPr>
          <w:ilvl w:val="1"/>
          <w:numId w:val="13"/>
        </w:numPr>
        <w:spacing w:line="360" w:lineRule="auto"/>
        <w:rPr>
          <w:rFonts w:hAnsi="宋体"/>
          <w:sz w:val="24"/>
          <w:szCs w:val="24"/>
        </w:rPr>
      </w:pPr>
      <w:r>
        <w:rPr>
          <w:rFonts w:hint="eastAsia" w:hAnsi="宋体"/>
          <w:sz w:val="24"/>
          <w:szCs w:val="24"/>
        </w:rPr>
        <w:t>供应商应将磋商保证金缴纳证明作为磋商响应文件的内容一并提供。缴纳的磋商保证金用于因磋商供应商的行为使本次磋商活动受到损失的抵项；</w:t>
      </w:r>
    </w:p>
    <w:p>
      <w:pPr>
        <w:pStyle w:val="17"/>
        <w:numPr>
          <w:ilvl w:val="1"/>
          <w:numId w:val="13"/>
        </w:numPr>
        <w:spacing w:line="360" w:lineRule="auto"/>
        <w:rPr>
          <w:rFonts w:hAnsi="宋体"/>
          <w:sz w:val="24"/>
          <w:szCs w:val="24"/>
        </w:rPr>
      </w:pPr>
      <w:r>
        <w:rPr>
          <w:rFonts w:hint="eastAsia" w:hAnsi="宋体"/>
          <w:sz w:val="24"/>
          <w:szCs w:val="24"/>
          <w:lang w:eastAsia="zh-CN"/>
        </w:rPr>
        <w:t>供应商</w:t>
      </w:r>
      <w:r>
        <w:rPr>
          <w:rFonts w:hint="eastAsia" w:hAnsi="宋体"/>
          <w:sz w:val="24"/>
          <w:szCs w:val="24"/>
        </w:rPr>
        <w:t>须在投标截止期前按以下要求交纳投标保证金：</w:t>
      </w:r>
      <w:r>
        <w:rPr>
          <w:rFonts w:hint="eastAsia" w:hAnsi="宋体"/>
          <w:sz w:val="24"/>
          <w:szCs w:val="24"/>
          <w:lang w:val="en-US" w:eastAsia="zh-CN"/>
        </w:rPr>
        <w:t>/</w:t>
      </w:r>
    </w:p>
    <w:p>
      <w:pPr>
        <w:pStyle w:val="17"/>
        <w:numPr>
          <w:ilvl w:val="1"/>
          <w:numId w:val="13"/>
        </w:numPr>
        <w:spacing w:line="360" w:lineRule="auto"/>
        <w:rPr>
          <w:rFonts w:hAnsi="宋体"/>
          <w:sz w:val="24"/>
          <w:szCs w:val="24"/>
        </w:rPr>
      </w:pPr>
      <w:r>
        <w:rPr>
          <w:rFonts w:hint="eastAsia" w:hAnsi="宋体"/>
          <w:sz w:val="24"/>
          <w:szCs w:val="24"/>
        </w:rPr>
        <w:t>供应商应在磋商截止时间前将磋商保证金缴纳到采购代理机构账户，以银行到账时间为准；</w:t>
      </w:r>
    </w:p>
    <w:p>
      <w:pPr>
        <w:pStyle w:val="17"/>
        <w:numPr>
          <w:ilvl w:val="1"/>
          <w:numId w:val="13"/>
        </w:numPr>
        <w:spacing w:line="360" w:lineRule="auto"/>
        <w:rPr>
          <w:rFonts w:hAnsi="宋体"/>
          <w:sz w:val="24"/>
          <w:szCs w:val="24"/>
        </w:rPr>
      </w:pPr>
      <w:r>
        <w:rPr>
          <w:rFonts w:hint="eastAsia" w:hAnsi="宋体"/>
          <w:sz w:val="24"/>
          <w:szCs w:val="24"/>
        </w:rPr>
        <w:t>磋商保证金应当以电汇、支票、汇票、本票或者金融机构、担保机构出具的保函等非现金形式提交，通过银行转账的，必须从磋商供应商基本账户直接汇（转）入采购代理机构指定账户；</w:t>
      </w:r>
    </w:p>
    <w:p>
      <w:pPr>
        <w:pStyle w:val="17"/>
        <w:numPr>
          <w:ilvl w:val="1"/>
          <w:numId w:val="13"/>
        </w:numPr>
        <w:spacing w:line="360" w:lineRule="auto"/>
        <w:rPr>
          <w:rFonts w:hAnsi="宋体"/>
          <w:sz w:val="24"/>
          <w:szCs w:val="24"/>
        </w:rPr>
      </w:pPr>
      <w:r>
        <w:rPr>
          <w:rFonts w:hint="eastAsia" w:hAnsi="宋体"/>
          <w:sz w:val="24"/>
          <w:szCs w:val="24"/>
        </w:rPr>
        <w:t>未按磋商文件要求在规定时间前交纳规定数额磋商保证金的磋商将被拒绝；</w:t>
      </w:r>
    </w:p>
    <w:p>
      <w:pPr>
        <w:pStyle w:val="17"/>
        <w:numPr>
          <w:ilvl w:val="1"/>
          <w:numId w:val="13"/>
        </w:numPr>
        <w:spacing w:line="360" w:lineRule="auto"/>
        <w:rPr>
          <w:rFonts w:hAnsi="宋体"/>
          <w:sz w:val="24"/>
          <w:szCs w:val="24"/>
        </w:rPr>
      </w:pPr>
      <w:r>
        <w:rPr>
          <w:rFonts w:hint="eastAsia" w:hAnsi="宋体"/>
          <w:sz w:val="24"/>
          <w:szCs w:val="24"/>
        </w:rPr>
        <w:t>未成交供应商的磋商保证金自成交通知书发出之日起5个工作日内全额</w:t>
      </w:r>
      <w:r>
        <w:rPr>
          <w:rFonts w:hint="eastAsia" w:hAnsi="宋体"/>
          <w:sz w:val="24"/>
          <w:szCs w:val="24"/>
          <w:lang w:val="en-US" w:eastAsia="zh-CN"/>
        </w:rPr>
        <w:t>有</w:t>
      </w:r>
      <w:r>
        <w:rPr>
          <w:rFonts w:hint="eastAsia" w:hAnsi="宋体"/>
          <w:sz w:val="24"/>
          <w:szCs w:val="24"/>
        </w:rPr>
        <w:t>息退还（不退现金）；成交磋商供应商的磋商保证金，自政府采购合同签订之日起5个工作日内全额无息退还（不退现金）；</w:t>
      </w:r>
    </w:p>
    <w:p>
      <w:pPr>
        <w:pStyle w:val="17"/>
        <w:numPr>
          <w:ilvl w:val="1"/>
          <w:numId w:val="13"/>
        </w:numPr>
        <w:spacing w:line="360" w:lineRule="auto"/>
        <w:rPr>
          <w:rFonts w:hAnsi="宋体"/>
          <w:sz w:val="24"/>
          <w:szCs w:val="24"/>
        </w:rPr>
      </w:pPr>
      <w:r>
        <w:rPr>
          <w:rFonts w:hint="eastAsia" w:hAnsi="宋体"/>
          <w:sz w:val="24"/>
          <w:szCs w:val="24"/>
        </w:rPr>
        <w:t>下列任何情况发生时，磋商保证金将不予退还：</w:t>
      </w:r>
    </w:p>
    <w:p>
      <w:pPr>
        <w:pStyle w:val="17"/>
        <w:numPr>
          <w:ilvl w:val="0"/>
          <w:numId w:val="14"/>
        </w:numPr>
        <w:spacing w:line="360" w:lineRule="auto"/>
        <w:rPr>
          <w:rFonts w:hAnsi="宋体" w:cs="Arial"/>
          <w:sz w:val="24"/>
          <w:szCs w:val="24"/>
        </w:rPr>
      </w:pPr>
      <w:r>
        <w:rPr>
          <w:rFonts w:hint="eastAsia" w:hAnsi="宋体" w:cs="Arial"/>
          <w:sz w:val="24"/>
          <w:szCs w:val="24"/>
        </w:rPr>
        <w:t>供应商在递交磋商响应文件的截止时间前未到达现场并且没有以书面形式如信函、传真等告知采购代理机构要撤其磋商的；</w:t>
      </w:r>
    </w:p>
    <w:p>
      <w:pPr>
        <w:pStyle w:val="17"/>
        <w:numPr>
          <w:ilvl w:val="0"/>
          <w:numId w:val="14"/>
        </w:numPr>
        <w:spacing w:line="360" w:lineRule="auto"/>
        <w:rPr>
          <w:rFonts w:hAnsi="宋体" w:cs="Arial"/>
          <w:sz w:val="24"/>
          <w:szCs w:val="24"/>
        </w:rPr>
      </w:pPr>
      <w:r>
        <w:rPr>
          <w:rFonts w:hint="eastAsia" w:hAnsi="宋体" w:cs="Arial"/>
          <w:sz w:val="24"/>
          <w:szCs w:val="24"/>
        </w:rPr>
        <w:t>成交供应商在规定期限内未能按规定签订合同或未按规定缴纳成交服务费；</w:t>
      </w:r>
    </w:p>
    <w:p>
      <w:pPr>
        <w:pStyle w:val="17"/>
        <w:numPr>
          <w:ilvl w:val="0"/>
          <w:numId w:val="14"/>
        </w:numPr>
        <w:spacing w:line="360" w:lineRule="auto"/>
        <w:rPr>
          <w:rFonts w:hAnsi="宋体" w:cs="Arial"/>
          <w:sz w:val="24"/>
          <w:szCs w:val="24"/>
        </w:rPr>
      </w:pPr>
      <w:r>
        <w:rPr>
          <w:rFonts w:hint="eastAsia" w:hAnsi="宋体" w:cs="Arial"/>
          <w:sz w:val="24"/>
          <w:szCs w:val="24"/>
        </w:rPr>
        <w:t>提供虚假材料谋取成交的；</w:t>
      </w:r>
    </w:p>
    <w:p>
      <w:pPr>
        <w:pStyle w:val="17"/>
        <w:numPr>
          <w:ilvl w:val="0"/>
          <w:numId w:val="14"/>
        </w:numPr>
        <w:spacing w:line="360" w:lineRule="auto"/>
        <w:rPr>
          <w:rFonts w:hAnsi="宋体" w:cs="Arial"/>
          <w:sz w:val="24"/>
          <w:szCs w:val="24"/>
        </w:rPr>
      </w:pPr>
      <w:r>
        <w:rPr>
          <w:rFonts w:hint="eastAsia" w:hAnsi="宋体" w:cs="Arial"/>
          <w:sz w:val="24"/>
          <w:szCs w:val="24"/>
        </w:rPr>
        <w:t>将成交项目转让给他人，或者在磋商响应文件中未说明，将成交项目分包给他人；</w:t>
      </w:r>
    </w:p>
    <w:p>
      <w:pPr>
        <w:pStyle w:val="17"/>
        <w:numPr>
          <w:ilvl w:val="0"/>
          <w:numId w:val="14"/>
        </w:numPr>
        <w:spacing w:line="360" w:lineRule="auto"/>
        <w:rPr>
          <w:rFonts w:hAnsi="宋体" w:cs="Arial"/>
          <w:sz w:val="24"/>
          <w:szCs w:val="24"/>
        </w:rPr>
      </w:pPr>
      <w:r>
        <w:rPr>
          <w:rFonts w:hint="eastAsia" w:hAnsi="宋体" w:cs="Arial"/>
          <w:sz w:val="24"/>
          <w:szCs w:val="24"/>
        </w:rPr>
        <w:t>拒绝履行合同义务的；</w:t>
      </w:r>
    </w:p>
    <w:p>
      <w:pPr>
        <w:pStyle w:val="17"/>
        <w:numPr>
          <w:ilvl w:val="0"/>
          <w:numId w:val="14"/>
        </w:numPr>
        <w:spacing w:line="360" w:lineRule="auto"/>
        <w:rPr>
          <w:rFonts w:hAnsi="宋体" w:cs="Arial"/>
          <w:sz w:val="24"/>
          <w:szCs w:val="24"/>
        </w:rPr>
      </w:pPr>
      <w:r>
        <w:rPr>
          <w:rFonts w:hint="eastAsia" w:hAnsi="宋体" w:cs="Arial"/>
          <w:sz w:val="24"/>
          <w:szCs w:val="24"/>
        </w:rPr>
        <w:t>法律、法规规定的其他情形。</w:t>
      </w:r>
    </w:p>
    <w:p>
      <w:pPr>
        <w:numPr>
          <w:ilvl w:val="0"/>
          <w:numId w:val="4"/>
        </w:numPr>
        <w:spacing w:before="0" w:after="0" w:line="360" w:lineRule="auto"/>
        <w:outlineLvl w:val="9"/>
        <w:rPr>
          <w:rFonts w:ascii="宋体" w:hAnsi="宋体"/>
          <w:b w:val="0"/>
          <w:sz w:val="24"/>
          <w:szCs w:val="24"/>
        </w:rPr>
      </w:pPr>
      <w:bookmarkStart w:id="35" w:name="_Toc10946"/>
      <w:bookmarkStart w:id="36" w:name="_Toc488673624"/>
      <w:r>
        <w:rPr>
          <w:rFonts w:ascii="宋体" w:hAnsi="宋体"/>
          <w:b w:val="0"/>
          <w:sz w:val="24"/>
          <w:szCs w:val="24"/>
        </w:rPr>
        <w:t>磋商有效期</w:t>
      </w:r>
      <w:bookmarkEnd w:id="35"/>
      <w:bookmarkEnd w:id="36"/>
    </w:p>
    <w:p>
      <w:pPr>
        <w:pStyle w:val="17"/>
        <w:spacing w:line="360" w:lineRule="auto"/>
        <w:ind w:firstLine="480" w:firstLineChars="200"/>
        <w:rPr>
          <w:rFonts w:hAnsi="宋体"/>
          <w:b/>
          <w:sz w:val="24"/>
          <w:szCs w:val="24"/>
        </w:rPr>
      </w:pPr>
      <w:r>
        <w:rPr>
          <w:rFonts w:hAnsi="宋体" w:cs="Arial"/>
          <w:sz w:val="24"/>
          <w:szCs w:val="24"/>
        </w:rPr>
        <w:t>本次磋商有效期为自</w:t>
      </w:r>
      <w:r>
        <w:rPr>
          <w:rFonts w:hint="eastAsia" w:hAnsi="宋体" w:cs="Arial"/>
          <w:sz w:val="24"/>
          <w:szCs w:val="24"/>
        </w:rPr>
        <w:t>磋商</w:t>
      </w:r>
      <w:r>
        <w:rPr>
          <w:rFonts w:hAnsi="宋体" w:cs="Arial"/>
          <w:sz w:val="24"/>
          <w:szCs w:val="24"/>
        </w:rPr>
        <w:t>之日起</w:t>
      </w:r>
      <w:r>
        <w:rPr>
          <w:rFonts w:hint="eastAsia" w:hAnsi="宋体" w:cs="Arial"/>
          <w:sz w:val="24"/>
          <w:szCs w:val="24"/>
        </w:rPr>
        <w:t>60日历</w:t>
      </w:r>
      <w:r>
        <w:rPr>
          <w:rFonts w:hint="eastAsia" w:hAnsi="宋体" w:cs="Arial"/>
          <w:sz w:val="24"/>
          <w:szCs w:val="24"/>
          <w:lang w:val="en-US" w:eastAsia="zh-CN"/>
        </w:rPr>
        <w:t>天</w:t>
      </w:r>
      <w:r>
        <w:rPr>
          <w:rFonts w:hint="eastAsia" w:hAnsi="宋体" w:cs="Arial"/>
          <w:sz w:val="24"/>
          <w:szCs w:val="24"/>
        </w:rPr>
        <w:t>。</w:t>
      </w:r>
    </w:p>
    <w:p>
      <w:pPr>
        <w:numPr>
          <w:ilvl w:val="0"/>
          <w:numId w:val="4"/>
        </w:numPr>
        <w:spacing w:before="0" w:after="0" w:line="360" w:lineRule="auto"/>
        <w:outlineLvl w:val="9"/>
        <w:rPr>
          <w:rFonts w:ascii="宋体" w:hAnsi="宋体"/>
          <w:b w:val="0"/>
          <w:sz w:val="24"/>
          <w:szCs w:val="24"/>
        </w:rPr>
      </w:pPr>
      <w:bookmarkStart w:id="37" w:name="_Toc12900"/>
      <w:bookmarkStart w:id="38" w:name="_Toc488673625"/>
      <w:r>
        <w:rPr>
          <w:rFonts w:hint="eastAsia" w:ascii="宋体" w:hAnsi="宋体"/>
          <w:b w:val="0"/>
          <w:sz w:val="24"/>
          <w:szCs w:val="24"/>
        </w:rPr>
        <w:t>响应文件的构成</w:t>
      </w:r>
      <w:bookmarkEnd w:id="37"/>
      <w:bookmarkEnd w:id="38"/>
    </w:p>
    <w:p>
      <w:pPr>
        <w:pStyle w:val="17"/>
        <w:spacing w:line="360" w:lineRule="auto"/>
        <w:ind w:firstLine="600" w:firstLineChars="250"/>
        <w:rPr>
          <w:rFonts w:hAnsi="宋体"/>
          <w:sz w:val="24"/>
          <w:szCs w:val="24"/>
        </w:rPr>
      </w:pPr>
      <w:r>
        <w:rPr>
          <w:rFonts w:hint="eastAsia" w:hAnsi="宋体"/>
          <w:sz w:val="24"/>
          <w:szCs w:val="24"/>
        </w:rPr>
        <w:t>供应商应提交相关证明材料，作为其参加磋商和成交后有能力履行合同的证明。编写的响应文件须包括以下内容（格式见磋商文件“第五部分 响应文件格式”）：</w:t>
      </w:r>
    </w:p>
    <w:p>
      <w:pPr>
        <w:autoSpaceDE w:val="0"/>
        <w:autoSpaceDN w:val="0"/>
        <w:spacing w:line="360" w:lineRule="auto"/>
        <w:ind w:left="426"/>
        <w:rPr>
          <w:rFonts w:ascii="宋体" w:hAnsi="宋体"/>
          <w:kern w:val="0"/>
          <w:sz w:val="24"/>
          <w:lang w:val="zh-CN"/>
        </w:rPr>
      </w:pPr>
      <w:r>
        <w:rPr>
          <w:rFonts w:hint="eastAsia" w:ascii="宋体" w:hAnsi="宋体"/>
          <w:kern w:val="0"/>
          <w:sz w:val="24"/>
          <w:lang w:val="zh-CN"/>
        </w:rPr>
        <w:t>11.1 响应</w:t>
      </w:r>
      <w:r>
        <w:rPr>
          <w:rFonts w:ascii="宋体" w:hAnsi="宋体"/>
          <w:kern w:val="0"/>
          <w:sz w:val="24"/>
          <w:lang w:val="zh-CN"/>
        </w:rPr>
        <w:t>文件</w:t>
      </w:r>
    </w:p>
    <w:p>
      <w:pPr>
        <w:pStyle w:val="17"/>
        <w:numPr>
          <w:ilvl w:val="0"/>
          <w:numId w:val="15"/>
        </w:numPr>
        <w:spacing w:line="360" w:lineRule="auto"/>
        <w:rPr>
          <w:rFonts w:hAnsi="宋体" w:cs="Arial"/>
          <w:sz w:val="24"/>
          <w:szCs w:val="24"/>
        </w:rPr>
      </w:pPr>
      <w:r>
        <w:rPr>
          <w:rFonts w:hint="eastAsia" w:hAnsi="宋体" w:cs="Arial"/>
          <w:sz w:val="24"/>
          <w:szCs w:val="24"/>
        </w:rPr>
        <w:t>磋商函；</w:t>
      </w:r>
    </w:p>
    <w:p>
      <w:pPr>
        <w:pStyle w:val="17"/>
        <w:numPr>
          <w:ilvl w:val="0"/>
          <w:numId w:val="15"/>
        </w:numPr>
        <w:spacing w:line="360" w:lineRule="auto"/>
        <w:rPr>
          <w:rFonts w:hAnsi="宋体" w:cs="Arial"/>
          <w:sz w:val="24"/>
          <w:szCs w:val="24"/>
        </w:rPr>
      </w:pPr>
      <w:r>
        <w:rPr>
          <w:rFonts w:hint="eastAsia" w:hAnsi="宋体" w:cs="Arial"/>
          <w:sz w:val="24"/>
          <w:szCs w:val="24"/>
        </w:rPr>
        <w:t>法定代表人证明书；</w:t>
      </w:r>
    </w:p>
    <w:p>
      <w:pPr>
        <w:pStyle w:val="17"/>
        <w:numPr>
          <w:ilvl w:val="0"/>
          <w:numId w:val="15"/>
        </w:numPr>
        <w:spacing w:line="360" w:lineRule="auto"/>
        <w:rPr>
          <w:rFonts w:hAnsi="宋体" w:cs="Arial"/>
          <w:sz w:val="24"/>
          <w:szCs w:val="24"/>
        </w:rPr>
      </w:pPr>
      <w:r>
        <w:rPr>
          <w:rFonts w:hint="eastAsia" w:hAnsi="宋体" w:cs="Arial"/>
          <w:sz w:val="24"/>
          <w:szCs w:val="24"/>
        </w:rPr>
        <w:t>法定代表人授权书；</w:t>
      </w:r>
    </w:p>
    <w:p>
      <w:pPr>
        <w:pStyle w:val="17"/>
        <w:numPr>
          <w:ilvl w:val="0"/>
          <w:numId w:val="15"/>
        </w:numPr>
        <w:spacing w:line="360" w:lineRule="auto"/>
        <w:rPr>
          <w:rFonts w:hAnsi="宋体" w:cs="Arial"/>
          <w:sz w:val="24"/>
          <w:szCs w:val="24"/>
        </w:rPr>
      </w:pPr>
      <w:r>
        <w:rPr>
          <w:rFonts w:hint="eastAsia" w:hAnsi="宋体" w:cs="Arial"/>
          <w:sz w:val="24"/>
          <w:szCs w:val="24"/>
        </w:rPr>
        <w:t>供应商承诺</w:t>
      </w:r>
      <w:r>
        <w:rPr>
          <w:rFonts w:hint="eastAsia" w:hAnsi="宋体" w:cs="Arial"/>
          <w:sz w:val="24"/>
          <w:szCs w:val="24"/>
          <w:lang w:val="en-US" w:eastAsia="zh-CN"/>
        </w:rPr>
        <w:t>函</w:t>
      </w:r>
      <w:r>
        <w:rPr>
          <w:rFonts w:hint="eastAsia" w:hAnsi="宋体" w:cs="Arial"/>
          <w:sz w:val="24"/>
          <w:szCs w:val="24"/>
        </w:rPr>
        <w:t>；</w:t>
      </w:r>
    </w:p>
    <w:p>
      <w:pPr>
        <w:pStyle w:val="17"/>
        <w:numPr>
          <w:ilvl w:val="0"/>
          <w:numId w:val="15"/>
        </w:numPr>
        <w:spacing w:line="360" w:lineRule="auto"/>
        <w:rPr>
          <w:rFonts w:hAnsi="宋体" w:cs="Arial"/>
          <w:sz w:val="24"/>
          <w:szCs w:val="24"/>
        </w:rPr>
      </w:pPr>
      <w:r>
        <w:rPr>
          <w:rFonts w:hint="eastAsia" w:hAnsi="宋体" w:cs="Arial"/>
          <w:sz w:val="24"/>
          <w:szCs w:val="24"/>
        </w:rPr>
        <w:t>供应商诚信承诺书；</w:t>
      </w:r>
    </w:p>
    <w:p>
      <w:pPr>
        <w:pStyle w:val="17"/>
        <w:numPr>
          <w:ilvl w:val="0"/>
          <w:numId w:val="15"/>
        </w:numPr>
        <w:spacing w:line="360" w:lineRule="auto"/>
        <w:rPr>
          <w:rFonts w:hAnsi="宋体" w:cs="Arial"/>
          <w:sz w:val="24"/>
          <w:szCs w:val="24"/>
        </w:rPr>
      </w:pPr>
      <w:r>
        <w:rPr>
          <w:rFonts w:hint="eastAsia" w:hAnsi="宋体" w:cs="Arial"/>
          <w:sz w:val="24"/>
          <w:szCs w:val="24"/>
        </w:rPr>
        <w:t>资格证明材料；</w:t>
      </w:r>
    </w:p>
    <w:p>
      <w:pPr>
        <w:pStyle w:val="17"/>
        <w:numPr>
          <w:ilvl w:val="0"/>
          <w:numId w:val="15"/>
        </w:numPr>
        <w:spacing w:line="360" w:lineRule="auto"/>
        <w:rPr>
          <w:rFonts w:hAnsi="宋体" w:cs="Arial"/>
          <w:sz w:val="24"/>
          <w:szCs w:val="24"/>
        </w:rPr>
      </w:pPr>
      <w:r>
        <w:rPr>
          <w:rFonts w:hint="eastAsia" w:hAnsi="宋体" w:cs="Arial"/>
          <w:sz w:val="24"/>
          <w:szCs w:val="24"/>
        </w:rPr>
        <w:t>财务状况、缴纳税收和社会保障资金证明；</w:t>
      </w:r>
    </w:p>
    <w:p>
      <w:pPr>
        <w:pStyle w:val="17"/>
        <w:numPr>
          <w:ilvl w:val="0"/>
          <w:numId w:val="15"/>
        </w:numPr>
        <w:spacing w:line="360" w:lineRule="auto"/>
        <w:rPr>
          <w:rFonts w:hAnsi="宋体" w:cs="Arial"/>
          <w:sz w:val="24"/>
          <w:szCs w:val="24"/>
        </w:rPr>
      </w:pPr>
      <w:r>
        <w:rPr>
          <w:rFonts w:hint="eastAsia" w:hAnsi="宋体" w:cs="Arial"/>
          <w:sz w:val="24"/>
          <w:szCs w:val="24"/>
        </w:rPr>
        <w:t>具备履行合同所必须的设备和专业技术能力证明；</w:t>
      </w:r>
    </w:p>
    <w:p>
      <w:pPr>
        <w:pStyle w:val="17"/>
        <w:numPr>
          <w:ilvl w:val="0"/>
          <w:numId w:val="15"/>
        </w:numPr>
        <w:spacing w:line="360" w:lineRule="auto"/>
        <w:rPr>
          <w:rFonts w:hAnsi="宋体" w:cs="Arial"/>
          <w:sz w:val="24"/>
          <w:szCs w:val="24"/>
        </w:rPr>
      </w:pPr>
      <w:r>
        <w:rPr>
          <w:rFonts w:hint="eastAsia" w:hAnsi="宋体" w:cs="Arial"/>
          <w:sz w:val="24"/>
          <w:szCs w:val="24"/>
        </w:rPr>
        <w:t>磋商保证金</w:t>
      </w:r>
      <w:r>
        <w:rPr>
          <w:rFonts w:hint="eastAsia" w:hAnsi="宋体" w:cs="Arial"/>
          <w:sz w:val="24"/>
          <w:szCs w:val="24"/>
          <w:lang w:eastAsia="zh-CN"/>
        </w:rPr>
        <w:t>（</w:t>
      </w:r>
      <w:r>
        <w:rPr>
          <w:rFonts w:hint="eastAsia" w:hAnsi="宋体" w:cs="Arial"/>
          <w:sz w:val="24"/>
          <w:szCs w:val="24"/>
          <w:lang w:val="en-US" w:eastAsia="zh-CN"/>
        </w:rPr>
        <w:t>本项目不适用</w:t>
      </w:r>
      <w:r>
        <w:rPr>
          <w:rFonts w:hint="eastAsia" w:hAnsi="宋体" w:cs="Arial"/>
          <w:sz w:val="24"/>
          <w:szCs w:val="24"/>
          <w:lang w:eastAsia="zh-CN"/>
        </w:rPr>
        <w:t>）</w:t>
      </w:r>
      <w:r>
        <w:rPr>
          <w:rFonts w:hint="eastAsia" w:hAnsi="宋体" w:cs="Arial"/>
          <w:sz w:val="24"/>
          <w:szCs w:val="24"/>
        </w:rPr>
        <w:t>；</w:t>
      </w:r>
    </w:p>
    <w:p>
      <w:pPr>
        <w:pStyle w:val="17"/>
        <w:numPr>
          <w:ilvl w:val="0"/>
          <w:numId w:val="15"/>
        </w:numPr>
        <w:spacing w:line="360" w:lineRule="auto"/>
        <w:rPr>
          <w:rFonts w:hAnsi="宋体" w:cs="Arial"/>
          <w:sz w:val="24"/>
          <w:szCs w:val="24"/>
        </w:rPr>
      </w:pPr>
      <w:r>
        <w:rPr>
          <w:rFonts w:hint="eastAsia" w:hAnsi="宋体" w:cs="Arial"/>
          <w:sz w:val="24"/>
          <w:szCs w:val="24"/>
        </w:rPr>
        <w:t>无重大违法记录声明；</w:t>
      </w:r>
    </w:p>
    <w:p>
      <w:pPr>
        <w:pStyle w:val="17"/>
        <w:numPr>
          <w:ilvl w:val="0"/>
          <w:numId w:val="15"/>
        </w:numPr>
        <w:spacing w:line="360" w:lineRule="auto"/>
        <w:rPr>
          <w:rFonts w:hAnsi="宋体" w:cs="Arial"/>
          <w:sz w:val="24"/>
          <w:szCs w:val="24"/>
        </w:rPr>
      </w:pPr>
      <w:r>
        <w:rPr>
          <w:rFonts w:hint="eastAsia" w:hAnsi="宋体" w:cs="Arial"/>
          <w:sz w:val="24"/>
          <w:szCs w:val="24"/>
          <w:lang w:val="en-US" w:eastAsia="zh-CN"/>
        </w:rPr>
        <w:t>竞争性磋商首次报价</w:t>
      </w:r>
      <w:r>
        <w:rPr>
          <w:rFonts w:hint="eastAsia" w:hAnsi="宋体" w:cs="Arial"/>
          <w:sz w:val="24"/>
          <w:szCs w:val="24"/>
        </w:rPr>
        <w:t>；</w:t>
      </w:r>
    </w:p>
    <w:p>
      <w:pPr>
        <w:pStyle w:val="17"/>
        <w:numPr>
          <w:ilvl w:val="0"/>
          <w:numId w:val="15"/>
        </w:numPr>
        <w:spacing w:line="360" w:lineRule="auto"/>
        <w:rPr>
          <w:rFonts w:hAnsi="宋体" w:cs="Arial"/>
          <w:sz w:val="24"/>
          <w:szCs w:val="24"/>
        </w:rPr>
      </w:pPr>
      <w:r>
        <w:rPr>
          <w:rFonts w:hAnsi="宋体" w:cs="Arial"/>
          <w:sz w:val="24"/>
          <w:szCs w:val="24"/>
        </w:rPr>
        <w:t>分项报价表</w:t>
      </w:r>
      <w:r>
        <w:rPr>
          <w:rFonts w:hint="eastAsia" w:hAnsi="宋体" w:cs="Arial"/>
          <w:sz w:val="24"/>
          <w:szCs w:val="24"/>
        </w:rPr>
        <w:t>；</w:t>
      </w:r>
    </w:p>
    <w:p>
      <w:pPr>
        <w:pStyle w:val="17"/>
        <w:numPr>
          <w:ilvl w:val="0"/>
          <w:numId w:val="15"/>
        </w:numPr>
        <w:spacing w:line="360" w:lineRule="auto"/>
        <w:rPr>
          <w:rFonts w:hAnsi="宋体" w:cs="Arial"/>
          <w:sz w:val="24"/>
          <w:szCs w:val="24"/>
        </w:rPr>
      </w:pPr>
      <w:r>
        <w:rPr>
          <w:rFonts w:hint="eastAsia" w:hAnsi="宋体" w:cs="Arial"/>
          <w:sz w:val="24"/>
          <w:szCs w:val="24"/>
        </w:rPr>
        <w:t>技术规格响应表；</w:t>
      </w:r>
    </w:p>
    <w:p>
      <w:pPr>
        <w:pStyle w:val="17"/>
        <w:numPr>
          <w:ilvl w:val="0"/>
          <w:numId w:val="15"/>
        </w:numPr>
        <w:spacing w:line="360" w:lineRule="auto"/>
        <w:rPr>
          <w:rFonts w:hAnsi="宋体" w:cs="Arial"/>
          <w:sz w:val="24"/>
          <w:szCs w:val="24"/>
        </w:rPr>
      </w:pPr>
      <w:r>
        <w:rPr>
          <w:rFonts w:hint="eastAsia" w:hAnsi="宋体" w:cs="Arial"/>
          <w:sz w:val="24"/>
          <w:szCs w:val="24"/>
        </w:rPr>
        <w:t>磋商产品相关资料；</w:t>
      </w:r>
    </w:p>
    <w:p>
      <w:pPr>
        <w:pStyle w:val="17"/>
        <w:numPr>
          <w:ilvl w:val="0"/>
          <w:numId w:val="15"/>
        </w:numPr>
        <w:spacing w:line="360" w:lineRule="auto"/>
        <w:rPr>
          <w:rFonts w:hAnsi="宋体" w:cs="Arial"/>
          <w:sz w:val="24"/>
          <w:szCs w:val="24"/>
        </w:rPr>
      </w:pPr>
      <w:r>
        <w:rPr>
          <w:rFonts w:hint="eastAsia" w:hAnsi="宋体" w:cs="Arial"/>
          <w:sz w:val="24"/>
          <w:szCs w:val="24"/>
        </w:rPr>
        <w:t>供应商类似业绩证明材料；</w:t>
      </w:r>
    </w:p>
    <w:p>
      <w:pPr>
        <w:pStyle w:val="17"/>
        <w:numPr>
          <w:ilvl w:val="0"/>
          <w:numId w:val="15"/>
        </w:numPr>
        <w:spacing w:line="360" w:lineRule="auto"/>
        <w:rPr>
          <w:rFonts w:hAnsi="宋体" w:cs="Arial"/>
          <w:sz w:val="24"/>
          <w:szCs w:val="24"/>
        </w:rPr>
      </w:pPr>
      <w:r>
        <w:rPr>
          <w:rFonts w:hint="eastAsia" w:hAnsi="宋体" w:cs="Arial"/>
          <w:sz w:val="24"/>
          <w:szCs w:val="24"/>
        </w:rPr>
        <w:t>落实政府采购政策需满足的资格证明材料；</w:t>
      </w:r>
    </w:p>
    <w:p>
      <w:pPr>
        <w:pStyle w:val="17"/>
        <w:numPr>
          <w:ilvl w:val="0"/>
          <w:numId w:val="15"/>
        </w:numPr>
        <w:spacing w:line="360" w:lineRule="auto"/>
        <w:rPr>
          <w:rFonts w:ascii="宋体" w:hAnsi="宋体" w:eastAsia="宋体" w:cs="宋体"/>
          <w:sz w:val="24"/>
          <w:szCs w:val="24"/>
        </w:rPr>
      </w:pPr>
      <w:r>
        <w:rPr>
          <w:rFonts w:hint="eastAsia" w:hAnsi="宋体" w:cs="Arial"/>
          <w:sz w:val="24"/>
          <w:szCs w:val="24"/>
        </w:rPr>
        <w:t>供应商认为在其他方面有必要说明的事项；</w:t>
      </w:r>
    </w:p>
    <w:p>
      <w:pPr>
        <w:pStyle w:val="17"/>
        <w:numPr>
          <w:ilvl w:val="0"/>
          <w:numId w:val="15"/>
        </w:numPr>
        <w:spacing w:line="360" w:lineRule="auto"/>
        <w:rPr>
          <w:rFonts w:ascii="宋体" w:hAnsi="宋体" w:eastAsia="宋体" w:cs="宋体"/>
          <w:sz w:val="24"/>
          <w:szCs w:val="24"/>
        </w:rPr>
      </w:pPr>
      <w:r>
        <w:rPr>
          <w:rFonts w:ascii="宋体" w:hAnsi="宋体" w:eastAsia="宋体" w:cs="宋体"/>
          <w:spacing w:val="-2"/>
          <w:sz w:val="24"/>
          <w:szCs w:val="24"/>
        </w:rPr>
        <w:t>供应商最后报价表</w:t>
      </w:r>
    </w:p>
    <w:p/>
    <w:p>
      <w:pPr>
        <w:pStyle w:val="17"/>
        <w:spacing w:line="360" w:lineRule="auto"/>
        <w:ind w:left="845"/>
        <w:rPr>
          <w:rFonts w:hAnsi="宋体" w:cs="Arial"/>
          <w:sz w:val="24"/>
          <w:szCs w:val="24"/>
        </w:rPr>
      </w:pPr>
      <w:r>
        <w:rPr>
          <w:rFonts w:hint="eastAsia" w:hAnsi="宋体" w:cs="Arial"/>
          <w:sz w:val="24"/>
          <w:szCs w:val="24"/>
        </w:rPr>
        <w:t>注：</w:t>
      </w:r>
      <w:r>
        <w:rPr>
          <w:rFonts w:hint="eastAsia" w:hAnsi="宋体" w:cs="Arial"/>
          <w:sz w:val="24"/>
          <w:szCs w:val="24"/>
          <w:lang w:eastAsia="zh-CN"/>
        </w:rPr>
        <w:t>供应商</w:t>
      </w:r>
      <w:r>
        <w:rPr>
          <w:rFonts w:hint="eastAsia" w:hAnsi="宋体" w:cs="Arial"/>
          <w:sz w:val="24"/>
          <w:szCs w:val="24"/>
        </w:rPr>
        <w:t>须按上述内容、顺序和格式编制磋商响应文件，并按要求编制目录、页码，并保证所提供的全部资料真实可信，自愿承担相应责任。</w:t>
      </w:r>
    </w:p>
    <w:p>
      <w:pPr>
        <w:numPr>
          <w:ilvl w:val="0"/>
          <w:numId w:val="4"/>
        </w:numPr>
        <w:spacing w:before="0" w:after="0" w:line="360" w:lineRule="auto"/>
        <w:outlineLvl w:val="9"/>
        <w:rPr>
          <w:rFonts w:ascii="宋体" w:hAnsi="宋体"/>
          <w:b w:val="0"/>
          <w:sz w:val="24"/>
          <w:szCs w:val="24"/>
        </w:rPr>
      </w:pPr>
      <w:bookmarkStart w:id="39" w:name="_Toc488673626"/>
      <w:bookmarkStart w:id="40" w:name="_Toc20747"/>
      <w:r>
        <w:rPr>
          <w:rFonts w:hint="eastAsia" w:ascii="宋体" w:hAnsi="宋体"/>
          <w:b w:val="0"/>
          <w:sz w:val="24"/>
          <w:szCs w:val="24"/>
        </w:rPr>
        <w:t>响应文件的编制要求</w:t>
      </w:r>
      <w:bookmarkEnd w:id="39"/>
      <w:bookmarkEnd w:id="40"/>
    </w:p>
    <w:p>
      <w:pPr>
        <w:pStyle w:val="17"/>
        <w:spacing w:line="480" w:lineRule="auto"/>
        <w:ind w:firstLine="480" w:firstLineChars="200"/>
        <w:rPr>
          <w:rFonts w:hAnsi="宋体"/>
          <w:sz w:val="24"/>
          <w:szCs w:val="24"/>
        </w:rPr>
      </w:pPr>
      <w:r>
        <w:rPr>
          <w:rFonts w:hint="eastAsia" w:hAnsi="宋体" w:cs="宋体"/>
          <w:sz w:val="24"/>
          <w:szCs w:val="24"/>
          <w:lang w:val="zh-CN"/>
        </w:rPr>
        <w:t>供应商应按照磋商文件所提供的响应文件格式，分别填写磋商文件第五部分的内容，应分别注明所提供产品的名称、技术配置及参数、数量和价格等内容；响应文件要求签字、盖章的地方必须由供应商的法定代表人或委托代理人按要求签字、盖章。</w:t>
      </w:r>
    </w:p>
    <w:p>
      <w:pPr>
        <w:tabs>
          <w:tab w:val="left" w:pos="425"/>
          <w:tab w:val="left" w:pos="720"/>
          <w:tab w:val="left" w:pos="1985"/>
          <w:tab w:val="left" w:pos="7088"/>
        </w:tabs>
        <w:spacing w:line="480" w:lineRule="auto"/>
        <w:ind w:left="709"/>
        <w:jc w:val="center"/>
        <w:outlineLvl w:val="1"/>
        <w:rPr>
          <w:rFonts w:hAnsi="宋体"/>
          <w:b/>
          <w:sz w:val="24"/>
          <w:szCs w:val="24"/>
        </w:rPr>
      </w:pPr>
      <w:bookmarkStart w:id="41" w:name="_Toc12849"/>
      <w:r>
        <w:rPr>
          <w:rFonts w:hint="eastAsia" w:hAnsi="宋体"/>
          <w:b/>
          <w:sz w:val="24"/>
          <w:szCs w:val="24"/>
          <w:lang w:val="en-US" w:eastAsia="zh-CN"/>
        </w:rPr>
        <w:t>四、</w:t>
      </w:r>
      <w:r>
        <w:rPr>
          <w:rFonts w:hint="eastAsia" w:hAnsi="宋体"/>
          <w:b/>
          <w:sz w:val="24"/>
          <w:szCs w:val="24"/>
        </w:rPr>
        <w:t>磋商响应文件的递交</w:t>
      </w:r>
      <w:bookmarkEnd w:id="41"/>
    </w:p>
    <w:p>
      <w:pPr>
        <w:numPr>
          <w:ilvl w:val="0"/>
          <w:numId w:val="4"/>
        </w:numPr>
        <w:spacing w:before="0" w:after="0" w:line="360" w:lineRule="auto"/>
        <w:outlineLvl w:val="9"/>
        <w:rPr>
          <w:rFonts w:hint="eastAsia" w:ascii="宋体" w:hAnsi="宋体"/>
          <w:b w:val="0"/>
          <w:sz w:val="24"/>
          <w:szCs w:val="24"/>
        </w:rPr>
      </w:pPr>
      <w:bookmarkStart w:id="42" w:name="_Toc31206"/>
      <w:r>
        <w:rPr>
          <w:rFonts w:hint="eastAsia" w:ascii="宋体" w:hAnsi="宋体"/>
          <w:b w:val="0"/>
          <w:sz w:val="24"/>
          <w:szCs w:val="24"/>
        </w:rPr>
        <w:t>本次招标采用线上提交投标文件的方式进行采购，投标文件必须在投标文件递交截止时间前上传平台。</w:t>
      </w:r>
      <w:bookmarkEnd w:id="42"/>
    </w:p>
    <w:p>
      <w:pPr>
        <w:numPr>
          <w:ilvl w:val="0"/>
          <w:numId w:val="4"/>
        </w:numPr>
        <w:spacing w:before="0" w:after="0" w:line="360" w:lineRule="auto"/>
        <w:outlineLvl w:val="9"/>
        <w:rPr>
          <w:rFonts w:hint="eastAsia" w:ascii="宋体" w:hAnsi="宋体"/>
          <w:b w:val="0"/>
          <w:sz w:val="24"/>
          <w:szCs w:val="24"/>
        </w:rPr>
      </w:pPr>
      <w:bookmarkStart w:id="43" w:name="_Toc16530"/>
      <w:r>
        <w:rPr>
          <w:rFonts w:hint="eastAsia" w:ascii="宋体" w:hAnsi="宋体"/>
          <w:b w:val="0"/>
          <w:sz w:val="24"/>
          <w:szCs w:val="24"/>
        </w:rPr>
        <w:t>若对项目采购电子交易系统操作有疑问，可登录政采云（https://www.zcygov.cn/），点击右侧咨询小 采，获取采小蜜智能服务管家帮助，或拨打政采云服务热线 95763 获取热线服务帮助。CA 问题联系电话（人工）；天谷 CA 400-087-8198。</w:t>
      </w:r>
      <w:bookmarkEnd w:id="43"/>
    </w:p>
    <w:p>
      <w:pPr>
        <w:pStyle w:val="17"/>
        <w:tabs>
          <w:tab w:val="left" w:pos="312"/>
        </w:tabs>
        <w:spacing w:line="480" w:lineRule="auto"/>
        <w:ind w:firstLine="480" w:firstLineChars="200"/>
        <w:rPr>
          <w:rFonts w:hAnsi="宋体" w:cs="宋体"/>
          <w:sz w:val="24"/>
        </w:rPr>
      </w:pPr>
    </w:p>
    <w:p>
      <w:pPr>
        <w:tabs>
          <w:tab w:val="left" w:pos="425"/>
          <w:tab w:val="left" w:pos="720"/>
          <w:tab w:val="left" w:pos="1985"/>
          <w:tab w:val="left" w:pos="7088"/>
        </w:tabs>
        <w:spacing w:line="480" w:lineRule="auto"/>
        <w:ind w:left="709"/>
        <w:jc w:val="center"/>
        <w:outlineLvl w:val="1"/>
        <w:rPr>
          <w:rFonts w:hAnsi="宋体"/>
          <w:b/>
          <w:sz w:val="24"/>
          <w:szCs w:val="24"/>
        </w:rPr>
      </w:pPr>
      <w:bookmarkStart w:id="44" w:name="_Toc9945"/>
      <w:r>
        <w:rPr>
          <w:rFonts w:hint="eastAsia" w:hAnsi="宋体"/>
          <w:b/>
          <w:sz w:val="24"/>
          <w:szCs w:val="24"/>
          <w:lang w:val="en-US" w:eastAsia="zh-CN"/>
        </w:rPr>
        <w:t>五、</w:t>
      </w:r>
      <w:r>
        <w:rPr>
          <w:rFonts w:hint="eastAsia" w:hAnsi="宋体"/>
          <w:b/>
          <w:sz w:val="24"/>
          <w:szCs w:val="24"/>
        </w:rPr>
        <w:t>磋商过程</w:t>
      </w:r>
      <w:bookmarkEnd w:id="44"/>
    </w:p>
    <w:p>
      <w:pPr>
        <w:numPr>
          <w:ilvl w:val="0"/>
          <w:numId w:val="4"/>
        </w:numPr>
        <w:spacing w:before="0" w:after="0" w:line="360" w:lineRule="auto"/>
        <w:outlineLvl w:val="9"/>
        <w:rPr>
          <w:rFonts w:hint="eastAsia" w:ascii="宋体" w:hAnsi="宋体"/>
          <w:b w:val="0"/>
          <w:sz w:val="24"/>
          <w:szCs w:val="24"/>
        </w:rPr>
      </w:pPr>
      <w:bookmarkStart w:id="45" w:name="_Toc31169"/>
      <w:r>
        <w:rPr>
          <w:rFonts w:hint="eastAsia" w:ascii="宋体" w:hAnsi="宋体"/>
          <w:b w:val="0"/>
          <w:sz w:val="24"/>
          <w:szCs w:val="24"/>
          <w:lang w:val="en-US" w:eastAsia="zh-CN"/>
        </w:rPr>
        <w:t>采购代理机构按本磋商文件中确定的时间和地点组织本项目的磋商活动。供应商应由其委托代理人</w:t>
      </w:r>
      <w:r>
        <w:rPr>
          <w:rFonts w:hint="eastAsia" w:ascii="宋体" w:hAnsi="宋体"/>
          <w:b w:val="0"/>
          <w:sz w:val="24"/>
          <w:szCs w:val="24"/>
        </w:rPr>
        <w:t>参加。</w:t>
      </w:r>
      <w:bookmarkEnd w:id="45"/>
    </w:p>
    <w:p>
      <w:pPr>
        <w:numPr>
          <w:ilvl w:val="0"/>
          <w:numId w:val="4"/>
        </w:numPr>
        <w:spacing w:before="0" w:after="0" w:line="360" w:lineRule="auto"/>
        <w:outlineLvl w:val="9"/>
        <w:rPr>
          <w:rFonts w:hint="eastAsia" w:ascii="宋体" w:hAnsi="宋体"/>
          <w:b w:val="0"/>
          <w:sz w:val="24"/>
          <w:szCs w:val="24"/>
          <w:lang w:val="en-US" w:eastAsia="zh-CN"/>
        </w:rPr>
      </w:pPr>
      <w:bookmarkStart w:id="46" w:name="_Toc29648"/>
      <w:r>
        <w:rPr>
          <w:rFonts w:hint="eastAsia" w:ascii="宋体" w:hAnsi="宋体"/>
          <w:b w:val="0"/>
          <w:sz w:val="24"/>
          <w:szCs w:val="24"/>
          <w:lang w:val="en-US" w:eastAsia="zh-CN"/>
        </w:rPr>
        <w:t>磋商时，对不同文字文本响应文件的解释发生异议的，以中文文本为准。</w:t>
      </w:r>
      <w:bookmarkEnd w:id="46"/>
    </w:p>
    <w:p>
      <w:pPr>
        <w:numPr>
          <w:ilvl w:val="0"/>
          <w:numId w:val="4"/>
        </w:numPr>
        <w:spacing w:before="0" w:after="0" w:line="360" w:lineRule="auto"/>
        <w:outlineLvl w:val="9"/>
        <w:rPr>
          <w:rFonts w:hint="eastAsia" w:ascii="宋体" w:hAnsi="宋体"/>
          <w:b w:val="0"/>
          <w:sz w:val="24"/>
          <w:szCs w:val="24"/>
          <w:lang w:val="en-US" w:eastAsia="zh-CN"/>
        </w:rPr>
      </w:pPr>
      <w:bookmarkStart w:id="47" w:name="_Toc27967"/>
      <w:r>
        <w:rPr>
          <w:rFonts w:hint="eastAsia" w:ascii="宋体" w:hAnsi="宋体"/>
          <w:b w:val="0"/>
          <w:sz w:val="24"/>
          <w:szCs w:val="24"/>
          <w:lang w:val="en-US" w:eastAsia="zh-CN"/>
        </w:rPr>
        <w:t>磋商工作由采购代理机构组织，采购单位、采购监管、纪检监察等有关方面代表可根据采购项目的具体情况列席。</w:t>
      </w:r>
      <w:bookmarkEnd w:id="47"/>
    </w:p>
    <w:p>
      <w:pPr>
        <w:numPr>
          <w:ilvl w:val="0"/>
          <w:numId w:val="4"/>
        </w:numPr>
        <w:spacing w:before="0" w:after="0" w:line="360" w:lineRule="auto"/>
        <w:outlineLvl w:val="9"/>
        <w:rPr>
          <w:rFonts w:hint="eastAsia" w:ascii="宋体" w:hAnsi="宋体"/>
          <w:b w:val="0"/>
          <w:sz w:val="24"/>
          <w:szCs w:val="24"/>
          <w:lang w:val="en-US" w:eastAsia="zh-CN"/>
        </w:rPr>
      </w:pPr>
      <w:bookmarkStart w:id="48" w:name="_Toc200"/>
      <w:r>
        <w:rPr>
          <w:rFonts w:hint="eastAsia" w:ascii="宋体" w:hAnsi="宋体"/>
          <w:b w:val="0"/>
          <w:sz w:val="24"/>
          <w:szCs w:val="24"/>
          <w:lang w:val="en-US" w:eastAsia="zh-CN"/>
        </w:rPr>
        <w:t>磋商过程有专人记录，并存档备查。</w:t>
      </w:r>
      <w:bookmarkEnd w:id="48"/>
    </w:p>
    <w:p>
      <w:pPr>
        <w:pStyle w:val="17"/>
        <w:tabs>
          <w:tab w:val="left" w:pos="312"/>
        </w:tabs>
        <w:spacing w:line="480" w:lineRule="auto"/>
        <w:ind w:firstLine="482" w:firstLineChars="200"/>
        <w:jc w:val="center"/>
        <w:outlineLvl w:val="1"/>
        <w:rPr>
          <w:rFonts w:hAnsi="宋体"/>
          <w:b/>
          <w:sz w:val="24"/>
          <w:szCs w:val="24"/>
        </w:rPr>
      </w:pPr>
      <w:bookmarkStart w:id="49" w:name="_Toc28084"/>
      <w:r>
        <w:rPr>
          <w:rFonts w:hint="eastAsia" w:hAnsi="宋体"/>
          <w:b/>
          <w:sz w:val="24"/>
          <w:szCs w:val="24"/>
          <w:lang w:val="en-US" w:eastAsia="zh-CN"/>
        </w:rPr>
        <w:t>六、</w:t>
      </w:r>
      <w:r>
        <w:rPr>
          <w:rFonts w:hint="eastAsia" w:hAnsi="宋体"/>
          <w:b/>
          <w:sz w:val="24"/>
          <w:szCs w:val="24"/>
        </w:rPr>
        <w:t>资格审查</w:t>
      </w:r>
      <w:bookmarkEnd w:id="49"/>
    </w:p>
    <w:p>
      <w:pPr>
        <w:numPr>
          <w:ilvl w:val="0"/>
          <w:numId w:val="4"/>
        </w:numPr>
        <w:spacing w:before="0" w:after="0" w:line="360" w:lineRule="auto"/>
        <w:outlineLvl w:val="9"/>
        <w:rPr>
          <w:rFonts w:hint="eastAsia" w:ascii="宋体" w:hAnsi="宋体"/>
          <w:b w:val="0"/>
          <w:sz w:val="24"/>
          <w:szCs w:val="24"/>
          <w:lang w:val="en-US" w:eastAsia="zh-CN"/>
        </w:rPr>
      </w:pPr>
      <w:bookmarkStart w:id="50" w:name="_Toc25243"/>
      <w:r>
        <w:rPr>
          <w:rFonts w:hint="eastAsia" w:ascii="宋体" w:hAnsi="宋体"/>
          <w:b w:val="0"/>
          <w:sz w:val="24"/>
          <w:szCs w:val="24"/>
          <w:lang w:val="en-US" w:eastAsia="zh-CN"/>
        </w:rPr>
        <w:t>合格供应商不足3家的，不得评标。</w:t>
      </w:r>
      <w:bookmarkEnd w:id="50"/>
    </w:p>
    <w:p>
      <w:pPr>
        <w:numPr>
          <w:ilvl w:val="0"/>
          <w:numId w:val="4"/>
        </w:numPr>
        <w:spacing w:before="0" w:after="0" w:line="360" w:lineRule="auto"/>
        <w:outlineLvl w:val="9"/>
        <w:rPr>
          <w:rFonts w:hint="eastAsia" w:ascii="宋体" w:hAnsi="宋体"/>
          <w:b w:val="0"/>
          <w:sz w:val="24"/>
          <w:szCs w:val="24"/>
          <w:lang w:val="en-US" w:eastAsia="zh-CN"/>
        </w:rPr>
      </w:pPr>
      <w:bookmarkStart w:id="51" w:name="_Toc497503516"/>
      <w:bookmarkStart w:id="52" w:name="_Toc497503249"/>
      <w:bookmarkStart w:id="53" w:name="_Toc497503315"/>
      <w:bookmarkStart w:id="54" w:name="_Toc497503449"/>
      <w:bookmarkStart w:id="55" w:name="_Toc21514"/>
      <w:bookmarkStart w:id="56" w:name="_Toc30809"/>
      <w:r>
        <w:rPr>
          <w:rFonts w:hint="eastAsia" w:ascii="宋体" w:hAnsi="宋体"/>
          <w:b w:val="0"/>
          <w:sz w:val="24"/>
          <w:szCs w:val="24"/>
          <w:lang w:val="en-US" w:eastAsia="zh-CN"/>
        </w:rPr>
        <w:t>资格审查时，供应商存在下列情况之一的，按无效投标处理：</w:t>
      </w:r>
      <w:bookmarkEnd w:id="51"/>
      <w:bookmarkEnd w:id="52"/>
      <w:bookmarkEnd w:id="53"/>
      <w:bookmarkEnd w:id="54"/>
      <w:bookmarkEnd w:id="55"/>
      <w:bookmarkEnd w:id="56"/>
    </w:p>
    <w:p>
      <w:pPr>
        <w:numPr>
          <w:ilvl w:val="0"/>
          <w:numId w:val="16"/>
        </w:numPr>
        <w:tabs>
          <w:tab w:val="left" w:pos="960"/>
        </w:tabs>
        <w:autoSpaceDE w:val="0"/>
        <w:autoSpaceDN w:val="0"/>
        <w:spacing w:line="360" w:lineRule="auto"/>
        <w:ind w:firstLine="480" w:firstLineChars="200"/>
        <w:rPr>
          <w:rFonts w:ascii="宋体" w:hAnsi="宋体" w:cs="宋体"/>
          <w:kern w:val="0"/>
          <w:sz w:val="24"/>
        </w:rPr>
      </w:pPr>
      <w:r>
        <w:rPr>
          <w:rFonts w:hint="eastAsia" w:ascii="宋体" w:hAnsi="宋体" w:cs="宋体"/>
          <w:sz w:val="24"/>
          <w:shd w:val="clear" w:color="auto" w:fill="FFFFFF"/>
        </w:rPr>
        <w:t>不具备</w:t>
      </w:r>
      <w:r>
        <w:rPr>
          <w:rFonts w:hint="eastAsia" w:ascii="宋体" w:hAnsi="宋体" w:cs="宋体"/>
          <w:kern w:val="0"/>
          <w:sz w:val="24"/>
          <w:lang w:val="zh-CN"/>
        </w:rPr>
        <w:t>第2.2款“合格的</w:t>
      </w:r>
      <w:r>
        <w:rPr>
          <w:rFonts w:hint="eastAsia" w:ascii="宋体" w:hAnsi="宋体" w:cs="宋体"/>
          <w:kern w:val="0"/>
          <w:sz w:val="24"/>
          <w:lang w:val="en-US" w:eastAsia="zh-CN"/>
        </w:rPr>
        <w:t>供应商</w:t>
      </w:r>
      <w:r>
        <w:rPr>
          <w:rFonts w:hint="eastAsia" w:ascii="宋体" w:hAnsi="宋体" w:cs="宋体"/>
          <w:kern w:val="0"/>
          <w:sz w:val="24"/>
          <w:lang w:val="zh-CN"/>
        </w:rPr>
        <w:t>”</w:t>
      </w:r>
      <w:r>
        <w:rPr>
          <w:rFonts w:hint="eastAsia" w:ascii="宋体" w:hAnsi="宋体" w:cs="宋体"/>
          <w:sz w:val="24"/>
          <w:shd w:val="clear" w:color="auto" w:fill="FFFFFF"/>
        </w:rPr>
        <w:t>规定的资格要求的；</w:t>
      </w:r>
    </w:p>
    <w:p>
      <w:pPr>
        <w:numPr>
          <w:ilvl w:val="0"/>
          <w:numId w:val="16"/>
        </w:numPr>
        <w:tabs>
          <w:tab w:val="left" w:pos="960"/>
        </w:tabs>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未按</w:t>
      </w:r>
      <w:r>
        <w:rPr>
          <w:rFonts w:hint="eastAsia" w:ascii="宋体" w:hAnsi="宋体" w:cs="宋体"/>
          <w:kern w:val="0"/>
          <w:sz w:val="24"/>
          <w:lang w:val="en-US" w:eastAsia="zh-CN"/>
        </w:rPr>
        <w:t>磋商</w:t>
      </w:r>
      <w:r>
        <w:rPr>
          <w:rFonts w:hint="eastAsia" w:ascii="宋体" w:hAnsi="宋体" w:cs="宋体"/>
          <w:kern w:val="0"/>
          <w:sz w:val="24"/>
        </w:rPr>
        <w:t>文件要求交纳或未足额交纳投标保证金的；</w:t>
      </w:r>
    </w:p>
    <w:p>
      <w:pPr>
        <w:widowControl w:val="0"/>
        <w:numPr>
          <w:ilvl w:val="0"/>
          <w:numId w:val="16"/>
        </w:numPr>
        <w:tabs>
          <w:tab w:val="left" w:pos="960"/>
        </w:tabs>
        <w:autoSpaceDE w:val="0"/>
        <w:autoSpaceDN w:val="0"/>
        <w:spacing w:line="360" w:lineRule="auto"/>
        <w:ind w:firstLine="480" w:firstLineChars="200"/>
        <w:jc w:val="both"/>
        <w:rPr>
          <w:rFonts w:ascii="宋体" w:hAnsi="宋体" w:cs="宋体"/>
          <w:sz w:val="24"/>
          <w:shd w:val="clear" w:color="auto" w:fill="FFFFFF"/>
        </w:rPr>
      </w:pPr>
      <w:r>
        <w:rPr>
          <w:rFonts w:hint="eastAsia" w:ascii="宋体" w:hAnsi="宋体" w:cs="宋体"/>
          <w:kern w:val="0"/>
          <w:sz w:val="24"/>
        </w:rPr>
        <w:t>未按第11.1</w:t>
      </w:r>
      <w:r>
        <w:rPr>
          <w:rFonts w:hint="eastAsia" w:ascii="宋体" w:hAnsi="宋体" w:cs="宋体"/>
          <w:kern w:val="0"/>
          <w:sz w:val="24"/>
          <w:lang w:val="zh-CN"/>
        </w:rPr>
        <w:t>款</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）-（14）要求提供相关资料的</w:t>
      </w:r>
      <w:r>
        <w:rPr>
          <w:rFonts w:hint="eastAsia" w:ascii="宋体" w:hAnsi="宋体" w:cs="宋体"/>
          <w:sz w:val="24"/>
          <w:shd w:val="clear" w:color="auto" w:fill="FFFFFF"/>
        </w:rPr>
        <w:t>；</w:t>
      </w:r>
    </w:p>
    <w:p>
      <w:pPr>
        <w:numPr>
          <w:ilvl w:val="0"/>
          <w:numId w:val="16"/>
        </w:numPr>
        <w:tabs>
          <w:tab w:val="left" w:pos="960"/>
        </w:tabs>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kern w:val="0"/>
          <w:sz w:val="24"/>
        </w:rPr>
        <w:t>资格性审查文件未按</w:t>
      </w:r>
      <w:r>
        <w:rPr>
          <w:rFonts w:hint="eastAsia" w:ascii="宋体" w:hAnsi="宋体" w:cs="宋体"/>
          <w:kern w:val="0"/>
          <w:sz w:val="24"/>
          <w:lang w:val="en-US" w:eastAsia="zh-CN"/>
        </w:rPr>
        <w:t>磋商</w:t>
      </w:r>
      <w:r>
        <w:rPr>
          <w:rFonts w:hint="eastAsia" w:ascii="宋体" w:hAnsi="宋体" w:cs="宋体"/>
          <w:kern w:val="0"/>
          <w:sz w:val="24"/>
        </w:rPr>
        <w:t>文件规定和要求签字、盖章的；</w:t>
      </w:r>
    </w:p>
    <w:p>
      <w:pPr>
        <w:numPr>
          <w:ilvl w:val="0"/>
          <w:numId w:val="16"/>
        </w:numPr>
        <w:tabs>
          <w:tab w:val="left" w:pos="960"/>
        </w:tabs>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报价超过</w:t>
      </w:r>
      <w:r>
        <w:rPr>
          <w:rFonts w:hint="eastAsia" w:ascii="宋体" w:hAnsi="宋体" w:cs="宋体"/>
          <w:sz w:val="24"/>
          <w:shd w:val="clear" w:color="auto" w:fill="FFFFFF"/>
          <w:lang w:val="en-US" w:eastAsia="zh-CN"/>
        </w:rPr>
        <w:t>磋商</w:t>
      </w:r>
      <w:r>
        <w:rPr>
          <w:rFonts w:hint="eastAsia" w:ascii="宋体" w:hAnsi="宋体" w:cs="宋体"/>
          <w:sz w:val="24"/>
          <w:shd w:val="clear" w:color="auto" w:fill="FFFFFF"/>
        </w:rPr>
        <w:t>文件中规定的最高限价的；</w:t>
      </w:r>
    </w:p>
    <w:p>
      <w:pPr>
        <w:numPr>
          <w:ilvl w:val="0"/>
          <w:numId w:val="16"/>
        </w:numPr>
        <w:tabs>
          <w:tab w:val="left" w:pos="960"/>
        </w:tabs>
        <w:autoSpaceDE w:val="0"/>
        <w:autoSpaceDN w:val="0"/>
        <w:spacing w:line="480" w:lineRule="auto"/>
        <w:ind w:firstLine="480" w:firstLineChars="200"/>
        <w:rPr>
          <w:rFonts w:ascii="宋体" w:hAnsi="宋体" w:cs="宋体"/>
          <w:sz w:val="24"/>
          <w:shd w:val="clear" w:color="auto" w:fill="FFFFFF"/>
        </w:rPr>
      </w:pPr>
      <w:r>
        <w:rPr>
          <w:rFonts w:hint="eastAsia" w:ascii="宋体" w:hAnsi="宋体" w:cs="宋体"/>
          <w:kern w:val="0"/>
          <w:sz w:val="24"/>
          <w:lang w:val="en-US" w:eastAsia="zh-CN"/>
        </w:rPr>
        <w:t>磋商</w:t>
      </w:r>
      <w:r>
        <w:rPr>
          <w:rFonts w:hint="eastAsia" w:ascii="宋体" w:hAnsi="宋体" w:cs="宋体"/>
          <w:kern w:val="0"/>
          <w:sz w:val="24"/>
          <w:lang w:val="zh-CN"/>
        </w:rPr>
        <w:t>有效期不能满足</w:t>
      </w:r>
      <w:r>
        <w:rPr>
          <w:rFonts w:hint="eastAsia" w:ascii="宋体" w:hAnsi="宋体" w:cs="宋体"/>
          <w:kern w:val="0"/>
          <w:sz w:val="24"/>
          <w:lang w:val="en-US" w:eastAsia="zh-CN"/>
        </w:rPr>
        <w:t>磋商</w:t>
      </w:r>
      <w:r>
        <w:rPr>
          <w:rFonts w:hint="eastAsia" w:ascii="宋体" w:hAnsi="宋体" w:cs="宋体"/>
          <w:kern w:val="0"/>
          <w:sz w:val="24"/>
          <w:lang w:val="zh-CN"/>
        </w:rPr>
        <w:t>文件要求的；</w:t>
      </w:r>
    </w:p>
    <w:p>
      <w:pPr>
        <w:tabs>
          <w:tab w:val="left" w:pos="425"/>
          <w:tab w:val="left" w:pos="720"/>
          <w:tab w:val="left" w:pos="1985"/>
          <w:tab w:val="left" w:pos="7088"/>
        </w:tabs>
        <w:spacing w:line="480" w:lineRule="auto"/>
        <w:ind w:left="709"/>
        <w:jc w:val="center"/>
        <w:outlineLvl w:val="1"/>
        <w:rPr>
          <w:rFonts w:hAnsi="宋体"/>
          <w:b/>
          <w:sz w:val="24"/>
          <w:szCs w:val="24"/>
        </w:rPr>
      </w:pPr>
      <w:bookmarkStart w:id="57" w:name="_Toc9952"/>
      <w:r>
        <w:rPr>
          <w:rFonts w:hint="eastAsia" w:hAnsi="宋体"/>
          <w:b/>
          <w:sz w:val="24"/>
          <w:szCs w:val="24"/>
          <w:lang w:val="en-US" w:eastAsia="zh-CN"/>
        </w:rPr>
        <w:t>七、</w:t>
      </w:r>
      <w:r>
        <w:rPr>
          <w:rFonts w:hint="eastAsia" w:hAnsi="宋体"/>
          <w:b/>
          <w:sz w:val="24"/>
          <w:szCs w:val="24"/>
        </w:rPr>
        <w:t>评审程序及方法</w:t>
      </w:r>
      <w:bookmarkEnd w:id="57"/>
    </w:p>
    <w:p>
      <w:pPr>
        <w:numPr>
          <w:ilvl w:val="0"/>
          <w:numId w:val="4"/>
        </w:numPr>
        <w:spacing w:before="0" w:after="0" w:line="480" w:lineRule="auto"/>
        <w:outlineLvl w:val="9"/>
        <w:rPr>
          <w:rFonts w:ascii="宋体" w:hAnsi="宋体"/>
          <w:b w:val="0"/>
          <w:sz w:val="24"/>
          <w:szCs w:val="24"/>
        </w:rPr>
      </w:pPr>
      <w:bookmarkStart w:id="58" w:name="_Toc488673633"/>
      <w:bookmarkStart w:id="59" w:name="_Toc13941"/>
      <w:r>
        <w:rPr>
          <w:rFonts w:hint="eastAsia" w:ascii="宋体" w:hAnsi="宋体"/>
          <w:b w:val="0"/>
          <w:sz w:val="24"/>
          <w:szCs w:val="24"/>
        </w:rPr>
        <w:t>评标委员会</w:t>
      </w:r>
      <w:bookmarkEnd w:id="58"/>
      <w:bookmarkEnd w:id="59"/>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21</w:t>
      </w:r>
      <w:r>
        <w:rPr>
          <w:rFonts w:hint="eastAsia" w:ascii="宋体" w:hAnsi="宋体" w:eastAsia="宋体" w:cs="Times New Roman"/>
          <w:kern w:val="0"/>
          <w:sz w:val="24"/>
          <w:szCs w:val="24"/>
          <w:lang w:val="en-US" w:eastAsia="zh-CN" w:bidi="ar-SA"/>
        </w:rPr>
        <w:t>.1.</w:t>
      </w:r>
      <w:r>
        <w:rPr>
          <w:rFonts w:hint="eastAsia" w:hAnsi="宋体" w:cs="宋体"/>
          <w:sz w:val="24"/>
          <w:szCs w:val="24"/>
        </w:rPr>
        <w:t>采购代理机构将根据采购项目的特点依法组建磋商小组，其成员由具有一定专业水平的技术、经济等方面的专家和采购单位代表等三人以上单数组成。其中技术、经济等方面的专家不少于成员总数的三分之二。</w:t>
      </w:r>
    </w:p>
    <w:p>
      <w:pPr>
        <w:autoSpaceDE w:val="0"/>
        <w:autoSpaceDN w:val="0"/>
        <w:spacing w:line="360" w:lineRule="auto"/>
        <w:ind w:left="481" w:leftChars="229" w:firstLine="480" w:firstLineChars="200"/>
        <w:rPr>
          <w:rFonts w:ascii="宋体" w:hAnsi="宋体" w:cs="宋体"/>
          <w:kern w:val="0"/>
          <w:sz w:val="24"/>
        </w:rPr>
      </w:pPr>
      <w:r>
        <w:rPr>
          <w:rFonts w:hint="eastAsia" w:ascii="宋体" w:hAnsi="宋体" w:cs="宋体"/>
          <w:kern w:val="0"/>
          <w:sz w:val="24"/>
        </w:rPr>
        <w:t>评审专家对本单位的采购项目只能作为采购人代表参与评标。采购代理机构工作人员不得参加由本机构代理的政府采购项目的评标。</w:t>
      </w:r>
    </w:p>
    <w:p>
      <w:pPr>
        <w:pStyle w:val="17"/>
        <w:spacing w:line="360" w:lineRule="auto"/>
        <w:ind w:firstLine="960" w:firstLineChars="400"/>
        <w:rPr>
          <w:rFonts w:hAnsi="宋体" w:cs="宋体"/>
          <w:sz w:val="24"/>
          <w:szCs w:val="24"/>
        </w:rPr>
      </w:pPr>
      <w:r>
        <w:rPr>
          <w:rFonts w:hint="eastAsia" w:hAnsi="宋体" w:cs="宋体"/>
          <w:sz w:val="24"/>
          <w:szCs w:val="24"/>
        </w:rPr>
        <w:t>评标委员会成员名单在评标结果公告前应当保密。</w:t>
      </w:r>
    </w:p>
    <w:p>
      <w:pPr>
        <w:pStyle w:val="17"/>
        <w:numPr>
          <w:ilvl w:val="1"/>
          <w:numId w:val="0"/>
        </w:numPr>
        <w:spacing w:line="360" w:lineRule="auto"/>
        <w:ind w:left="621" w:leftChars="0" w:hanging="480" w:firstLineChars="0"/>
        <w:rPr>
          <w:rFonts w:hAnsi="宋体" w:cs="宋体"/>
          <w:sz w:val="24"/>
          <w:szCs w:val="24"/>
        </w:rPr>
      </w:pPr>
      <w:r>
        <w:rPr>
          <w:rFonts w:hint="eastAsia" w:hAnsi="宋体" w:cs="宋体"/>
          <w:kern w:val="0"/>
          <w:sz w:val="24"/>
          <w:szCs w:val="24"/>
          <w:lang w:val="en-US" w:eastAsia="zh-CN" w:bidi="ar-SA"/>
        </w:rPr>
        <w:t>21</w:t>
      </w:r>
      <w:r>
        <w:rPr>
          <w:rFonts w:hint="eastAsia" w:ascii="宋体" w:hAnsi="宋体" w:eastAsia="宋体" w:cs="宋体"/>
          <w:kern w:val="0"/>
          <w:sz w:val="24"/>
          <w:szCs w:val="24"/>
          <w:lang w:val="en-US" w:eastAsia="zh-CN" w:bidi="ar-SA"/>
        </w:rPr>
        <w:t>.2.</w:t>
      </w:r>
      <w:r>
        <w:rPr>
          <w:rFonts w:hint="eastAsia" w:hAnsi="宋体" w:cs="宋体"/>
          <w:sz w:val="24"/>
          <w:szCs w:val="24"/>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pStyle w:val="17"/>
        <w:numPr>
          <w:ilvl w:val="1"/>
          <w:numId w:val="0"/>
        </w:numPr>
        <w:spacing w:line="360" w:lineRule="auto"/>
        <w:ind w:left="621" w:leftChars="0" w:hanging="480" w:firstLineChars="0"/>
        <w:rPr>
          <w:rFonts w:hAnsi="宋体" w:cs="宋体"/>
          <w:sz w:val="24"/>
          <w:szCs w:val="24"/>
        </w:rPr>
      </w:pPr>
      <w:r>
        <w:rPr>
          <w:rFonts w:hint="eastAsia" w:hAnsi="宋体" w:cs="宋体"/>
          <w:kern w:val="0"/>
          <w:sz w:val="24"/>
          <w:szCs w:val="24"/>
          <w:lang w:val="en-US" w:eastAsia="zh-CN" w:bidi="ar-SA"/>
        </w:rPr>
        <w:t>21</w:t>
      </w:r>
      <w:r>
        <w:rPr>
          <w:rFonts w:hint="eastAsia" w:ascii="宋体" w:hAnsi="宋体" w:eastAsia="宋体" w:cs="宋体"/>
          <w:kern w:val="0"/>
          <w:sz w:val="24"/>
          <w:szCs w:val="24"/>
          <w:lang w:val="en-US" w:eastAsia="zh-CN" w:bidi="ar-SA"/>
        </w:rPr>
        <w:t>.3.</w:t>
      </w:r>
      <w:r>
        <w:rPr>
          <w:rFonts w:hint="eastAsia" w:hAnsi="宋体" w:cs="宋体"/>
          <w:sz w:val="24"/>
          <w:szCs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磋商响应文件和开标、评标资料，依法重新组建评标委员会进行评标。原评标委员会所作出的评标意见无效。</w:t>
      </w:r>
    </w:p>
    <w:p>
      <w:pPr>
        <w:pStyle w:val="17"/>
        <w:spacing w:line="360" w:lineRule="auto"/>
        <w:ind w:left="622" w:leftChars="296" w:firstLine="480" w:firstLineChars="200"/>
        <w:rPr>
          <w:rFonts w:hAnsi="宋体" w:cs="宋体"/>
          <w:sz w:val="24"/>
          <w:szCs w:val="24"/>
        </w:rPr>
      </w:pPr>
      <w:r>
        <w:rPr>
          <w:rFonts w:hint="eastAsia" w:hAnsi="宋体" w:cs="宋体"/>
          <w:sz w:val="24"/>
          <w:szCs w:val="24"/>
          <w:lang w:val="zh-CN"/>
        </w:rPr>
        <w:t>采购人或采购代理机构</w:t>
      </w:r>
      <w:r>
        <w:rPr>
          <w:rFonts w:hint="eastAsia" w:hAnsi="宋体" w:cs="宋体"/>
          <w:sz w:val="24"/>
          <w:szCs w:val="24"/>
        </w:rPr>
        <w:t>应当将变更、重新组建评标委员会的情况予以记录，并随磋商文件一并存档。</w:t>
      </w:r>
    </w:p>
    <w:p>
      <w:pPr>
        <w:pStyle w:val="17"/>
        <w:numPr>
          <w:ilvl w:val="1"/>
          <w:numId w:val="0"/>
        </w:numPr>
        <w:spacing w:line="360" w:lineRule="auto"/>
        <w:ind w:left="621" w:leftChars="0" w:hanging="480" w:firstLineChars="0"/>
        <w:rPr>
          <w:rFonts w:hAnsi="宋体" w:cs="宋体"/>
          <w:sz w:val="24"/>
          <w:szCs w:val="24"/>
        </w:rPr>
      </w:pPr>
      <w:r>
        <w:rPr>
          <w:rFonts w:hint="eastAsia" w:hAnsi="宋体" w:cs="宋体"/>
          <w:kern w:val="0"/>
          <w:sz w:val="24"/>
          <w:szCs w:val="24"/>
          <w:lang w:val="en-US" w:eastAsia="zh-CN" w:bidi="ar-SA"/>
        </w:rPr>
        <w:t>21</w:t>
      </w:r>
      <w:r>
        <w:rPr>
          <w:rFonts w:hint="eastAsia" w:ascii="宋体" w:hAnsi="宋体" w:eastAsia="宋体" w:cs="宋体"/>
          <w:kern w:val="0"/>
          <w:sz w:val="24"/>
          <w:szCs w:val="24"/>
          <w:lang w:val="en-US" w:eastAsia="zh-CN" w:bidi="ar-SA"/>
        </w:rPr>
        <w:t>.4.</w:t>
      </w:r>
      <w:r>
        <w:rPr>
          <w:rFonts w:hint="eastAsia" w:hAnsi="宋体" w:cs="宋体"/>
          <w:sz w:val="24"/>
          <w:szCs w:val="24"/>
        </w:rPr>
        <w:t>采购人、采购代理机构应当采取必要措施，保证评标在严格保密的情况下进行。除采购人代表、评标现场组织人员外，采购人的其他工作人员以及与评标工作无关的人员不得进入评标现场。</w:t>
      </w:r>
    </w:p>
    <w:p>
      <w:pPr>
        <w:pStyle w:val="17"/>
        <w:spacing w:line="360" w:lineRule="auto"/>
        <w:ind w:left="621"/>
        <w:rPr>
          <w:rFonts w:hAnsi="宋体" w:cs="宋体"/>
          <w:sz w:val="24"/>
          <w:szCs w:val="24"/>
        </w:rPr>
      </w:pPr>
      <w:r>
        <w:rPr>
          <w:rFonts w:hint="eastAsia" w:hAnsi="宋体" w:cs="宋体"/>
          <w:sz w:val="24"/>
          <w:szCs w:val="24"/>
        </w:rPr>
        <w:t>有关人员对评标情况以及在评标过程中获悉的国家秘密、商业秘密负有保密责任。</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21</w:t>
      </w:r>
      <w:r>
        <w:rPr>
          <w:rFonts w:hint="eastAsia" w:ascii="宋体" w:hAnsi="宋体" w:eastAsia="宋体" w:cs="Times New Roman"/>
          <w:kern w:val="0"/>
          <w:sz w:val="24"/>
          <w:szCs w:val="24"/>
          <w:lang w:val="en-US" w:eastAsia="zh-CN" w:bidi="ar-SA"/>
        </w:rPr>
        <w:t>.5.</w:t>
      </w:r>
      <w:r>
        <w:rPr>
          <w:rFonts w:hint="eastAsia" w:hAnsi="宋体" w:cs="宋体"/>
          <w:sz w:val="24"/>
          <w:szCs w:val="24"/>
        </w:rPr>
        <w:t>磋商由采购代理机构负责组织，具体磋商事务由依法组建的磋商小组负责，并独立履行下列职责：</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核对评审专家身份和采购人代表授权函，对评审专家在政府采购活动中的职责履行情况予以记录，并及时将有关违法违规行为向财政部门报告；</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宣布评标纪律；</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公布供应商名单，告知评审专家应当回避的情形；</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组织评标委员会推选评标组长，采购人代表不得担任组长；</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在评标期间采取必要的通讯管理措施，保证评标活动不受外界干扰；</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根据评标委员会的要求介绍政府采购相关政策法规、磋商文件；</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维护评标秩序，监督评标委员会依照磋商文件规定的评标程序、方法和标准进行独立评审，及时制止和纠正采购人代表、评审专家的倾向性言论或者违法违规行为；</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评审工作完成后，按照规定由采购人向评审专家支付劳务报酬和异地评审差旅费，不得向评审专家以外的其他人员支付评审劳务报酬；</w:t>
      </w:r>
    </w:p>
    <w:p>
      <w:pPr>
        <w:numPr>
          <w:ilvl w:val="0"/>
          <w:numId w:val="17"/>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处理与评标有关的其他事项。</w:t>
      </w:r>
    </w:p>
    <w:p>
      <w:pPr>
        <w:pStyle w:val="17"/>
        <w:spacing w:line="360" w:lineRule="auto"/>
        <w:ind w:left="480"/>
        <w:rPr>
          <w:rFonts w:hAnsi="宋体"/>
          <w:sz w:val="24"/>
          <w:szCs w:val="24"/>
        </w:rPr>
      </w:pPr>
      <w:r>
        <w:rPr>
          <w:rFonts w:hint="eastAsia" w:hAnsi="宋体" w:cs="宋体"/>
          <w:sz w:val="24"/>
          <w:szCs w:val="24"/>
          <w:lang w:val="zh-CN"/>
        </w:rPr>
        <w:t>采购人可以在评标前说明项目背景和采购需求，说明内容不得含有歧视性、倾向性意见，不得超出磋商文件所述范围。说明应当提交书面材料，并随磋商文件一并存档。</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21</w:t>
      </w:r>
      <w:r>
        <w:rPr>
          <w:rFonts w:hint="eastAsia" w:ascii="宋体" w:hAnsi="宋体" w:eastAsia="宋体" w:cs="Times New Roman"/>
          <w:kern w:val="0"/>
          <w:sz w:val="24"/>
          <w:szCs w:val="24"/>
          <w:lang w:val="en-US" w:eastAsia="zh-CN" w:bidi="ar-SA"/>
        </w:rPr>
        <w:t>.6.</w:t>
      </w:r>
      <w:r>
        <w:rPr>
          <w:rFonts w:hint="eastAsia" w:hAnsi="宋体" w:cs="宋体"/>
          <w:sz w:val="24"/>
          <w:szCs w:val="24"/>
        </w:rPr>
        <w:t>磋商小组应遵守并履行下列义务</w:t>
      </w:r>
      <w:r>
        <w:rPr>
          <w:rFonts w:hint="eastAsia" w:hAnsi="宋体"/>
          <w:sz w:val="24"/>
          <w:szCs w:val="24"/>
        </w:rPr>
        <w:t>：</w:t>
      </w:r>
    </w:p>
    <w:p>
      <w:pPr>
        <w:numPr>
          <w:ilvl w:val="0"/>
          <w:numId w:val="18"/>
        </w:numPr>
        <w:autoSpaceDE w:val="0"/>
        <w:autoSpaceDN w:val="0"/>
        <w:spacing w:line="360" w:lineRule="auto"/>
        <w:rPr>
          <w:rFonts w:ascii="宋体" w:hAnsi="宋体" w:cs="宋体"/>
          <w:kern w:val="0"/>
          <w:sz w:val="24"/>
        </w:rPr>
      </w:pPr>
      <w:r>
        <w:rPr>
          <w:rFonts w:hint="eastAsia" w:ascii="宋体" w:hAnsi="宋体" w:cs="宋体"/>
          <w:kern w:val="0"/>
          <w:sz w:val="24"/>
        </w:rPr>
        <w:t>审查、评价响应文件是否符合磋商文件的商务、技术等实质性要求；</w:t>
      </w:r>
    </w:p>
    <w:p>
      <w:pPr>
        <w:numPr>
          <w:ilvl w:val="0"/>
          <w:numId w:val="18"/>
        </w:numPr>
        <w:autoSpaceDE w:val="0"/>
        <w:autoSpaceDN w:val="0"/>
        <w:spacing w:line="360" w:lineRule="auto"/>
        <w:rPr>
          <w:rFonts w:ascii="宋体" w:hAnsi="宋体" w:cs="宋体"/>
          <w:kern w:val="0"/>
          <w:sz w:val="24"/>
        </w:rPr>
      </w:pPr>
      <w:r>
        <w:rPr>
          <w:rFonts w:hint="eastAsia" w:ascii="宋体" w:hAnsi="宋体" w:cs="宋体"/>
          <w:kern w:val="0"/>
          <w:sz w:val="24"/>
        </w:rPr>
        <w:t>要求</w:t>
      </w:r>
      <w:r>
        <w:rPr>
          <w:rFonts w:hint="eastAsia" w:ascii="宋体" w:hAnsi="宋体" w:cs="宋体"/>
          <w:kern w:val="0"/>
          <w:sz w:val="24"/>
          <w:lang w:eastAsia="zh-CN"/>
        </w:rPr>
        <w:t>供应商</w:t>
      </w:r>
      <w:r>
        <w:rPr>
          <w:rFonts w:hint="eastAsia" w:ascii="宋体" w:hAnsi="宋体" w:cs="宋体"/>
          <w:kern w:val="0"/>
          <w:sz w:val="24"/>
        </w:rPr>
        <w:t>对响应文件有关事项作出澄清或者说明；</w:t>
      </w:r>
    </w:p>
    <w:p>
      <w:pPr>
        <w:numPr>
          <w:ilvl w:val="0"/>
          <w:numId w:val="18"/>
        </w:numPr>
        <w:autoSpaceDE w:val="0"/>
        <w:autoSpaceDN w:val="0"/>
        <w:spacing w:line="360" w:lineRule="auto"/>
        <w:rPr>
          <w:rFonts w:ascii="宋体" w:hAnsi="宋体" w:cs="宋体"/>
          <w:kern w:val="0"/>
          <w:sz w:val="24"/>
        </w:rPr>
      </w:pPr>
      <w:r>
        <w:rPr>
          <w:rFonts w:hint="eastAsia" w:ascii="宋体" w:hAnsi="宋体" w:cs="宋体"/>
          <w:kern w:val="0"/>
          <w:sz w:val="24"/>
        </w:rPr>
        <w:t>对响应文件进行比较和评价；</w:t>
      </w:r>
    </w:p>
    <w:p>
      <w:pPr>
        <w:numPr>
          <w:ilvl w:val="0"/>
          <w:numId w:val="18"/>
        </w:numPr>
        <w:autoSpaceDE w:val="0"/>
        <w:autoSpaceDN w:val="0"/>
        <w:spacing w:line="360" w:lineRule="auto"/>
        <w:rPr>
          <w:rFonts w:ascii="宋体" w:hAnsi="宋体" w:cs="宋体"/>
          <w:kern w:val="0"/>
          <w:sz w:val="24"/>
        </w:rPr>
      </w:pPr>
      <w:r>
        <w:rPr>
          <w:rFonts w:hint="eastAsia" w:ascii="宋体" w:hAnsi="宋体" w:cs="宋体"/>
          <w:kern w:val="0"/>
          <w:sz w:val="24"/>
        </w:rPr>
        <w:t>确定成交候选人名单，以及根据采购人委托直接确定成交人；</w:t>
      </w:r>
    </w:p>
    <w:p>
      <w:pPr>
        <w:numPr>
          <w:ilvl w:val="0"/>
          <w:numId w:val="18"/>
        </w:numPr>
        <w:autoSpaceDE w:val="0"/>
        <w:autoSpaceDN w:val="0"/>
        <w:spacing w:line="360" w:lineRule="auto"/>
        <w:rPr>
          <w:rFonts w:ascii="宋体" w:hAnsi="宋体" w:cs="宋体"/>
          <w:kern w:val="0"/>
          <w:sz w:val="24"/>
        </w:rPr>
      </w:pPr>
      <w:r>
        <w:rPr>
          <w:rFonts w:hint="eastAsia" w:ascii="宋体" w:hAnsi="宋体" w:cs="宋体"/>
          <w:kern w:val="0"/>
          <w:sz w:val="24"/>
        </w:rPr>
        <w:t>向采购人、采购代理机构或者有关部门报告评标中发现的违法行为。</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21</w:t>
      </w:r>
      <w:r>
        <w:rPr>
          <w:rFonts w:hint="eastAsia" w:ascii="宋体" w:hAnsi="宋体" w:eastAsia="宋体" w:cs="Times New Roman"/>
          <w:kern w:val="0"/>
          <w:sz w:val="24"/>
          <w:szCs w:val="24"/>
          <w:lang w:val="en-US" w:eastAsia="zh-CN" w:bidi="ar-SA"/>
        </w:rPr>
        <w:t>.7.</w:t>
      </w:r>
      <w:r>
        <w:rPr>
          <w:rFonts w:hint="eastAsia" w:hAnsi="宋体"/>
          <w:sz w:val="24"/>
          <w:szCs w:val="24"/>
        </w:rPr>
        <w:t>评审工作在有关部门的监督下依法开展，任何单位和个人不得非法干预、影响评审工作和评审结果。</w:t>
      </w:r>
    </w:p>
    <w:p>
      <w:pPr>
        <w:numPr>
          <w:ilvl w:val="0"/>
          <w:numId w:val="4"/>
        </w:numPr>
        <w:spacing w:before="0" w:after="0" w:line="360" w:lineRule="auto"/>
        <w:outlineLvl w:val="9"/>
        <w:rPr>
          <w:rFonts w:ascii="宋体" w:hAnsi="宋体"/>
          <w:b w:val="0"/>
          <w:sz w:val="24"/>
          <w:szCs w:val="24"/>
        </w:rPr>
      </w:pPr>
      <w:bookmarkStart w:id="60" w:name="_Toc488673634"/>
      <w:bookmarkStart w:id="61" w:name="_Toc14526"/>
      <w:r>
        <w:rPr>
          <w:rFonts w:hint="eastAsia" w:ascii="宋体" w:hAnsi="宋体"/>
          <w:b w:val="0"/>
          <w:sz w:val="24"/>
          <w:szCs w:val="24"/>
        </w:rPr>
        <w:t>磋商程序</w:t>
      </w:r>
      <w:bookmarkEnd w:id="60"/>
      <w:bookmarkEnd w:id="61"/>
    </w:p>
    <w:p>
      <w:pPr>
        <w:pStyle w:val="17"/>
        <w:numPr>
          <w:ilvl w:val="1"/>
          <w:numId w:val="0"/>
        </w:numPr>
        <w:spacing w:line="360" w:lineRule="auto"/>
        <w:ind w:left="621" w:leftChars="0" w:hanging="480" w:firstLineChars="0"/>
        <w:rPr>
          <w:rFonts w:hint="eastAsia" w:hAnsi="宋体" w:cs="宋体"/>
          <w:sz w:val="24"/>
          <w:szCs w:val="24"/>
          <w:lang w:val="zh-CN"/>
        </w:rPr>
      </w:pPr>
      <w:r>
        <w:rPr>
          <w:rFonts w:hint="eastAsia" w:hAnsi="宋体" w:cs="Times New Roman"/>
          <w:kern w:val="0"/>
          <w:sz w:val="24"/>
          <w:szCs w:val="24"/>
          <w:lang w:val="en-US" w:eastAsia="zh-CN" w:bidi="ar-SA"/>
        </w:rPr>
        <w:t>22</w:t>
      </w:r>
      <w:r>
        <w:rPr>
          <w:rFonts w:hint="eastAsia" w:ascii="宋体" w:hAnsi="宋体" w:eastAsia="宋体" w:cs="Times New Roman"/>
          <w:kern w:val="0"/>
          <w:sz w:val="24"/>
          <w:szCs w:val="24"/>
          <w:lang w:val="en-US" w:eastAsia="zh-CN" w:bidi="ar-SA"/>
        </w:rPr>
        <w:t>.1.</w:t>
      </w:r>
      <w:r>
        <w:rPr>
          <w:rFonts w:hint="eastAsia" w:hAnsi="宋体" w:cs="宋体"/>
          <w:sz w:val="24"/>
          <w:szCs w:val="24"/>
          <w:lang w:val="zh-CN"/>
        </w:rPr>
        <w:t>评标委员会应当对符合资格的供应商的响应文件进行符合性审查，以确定其是否满足磋商文件的实质性要求。</w:t>
      </w:r>
    </w:p>
    <w:p>
      <w:pPr>
        <w:pStyle w:val="17"/>
        <w:numPr>
          <w:ilvl w:val="1"/>
          <w:numId w:val="0"/>
        </w:numPr>
        <w:spacing w:line="360" w:lineRule="auto"/>
        <w:ind w:left="621" w:leftChars="0" w:hanging="480" w:firstLineChars="0"/>
        <w:rPr>
          <w:rFonts w:hint="eastAsia" w:hAnsi="宋体" w:cs="Arial"/>
          <w:sz w:val="24"/>
          <w:szCs w:val="24"/>
        </w:rPr>
      </w:pPr>
      <w:r>
        <w:rPr>
          <w:rFonts w:hint="eastAsia" w:hAnsi="宋体" w:cs="Arial"/>
          <w:sz w:val="24"/>
          <w:szCs w:val="24"/>
          <w:lang w:eastAsia="zh-CN"/>
        </w:rPr>
        <w:t>（</w:t>
      </w:r>
      <w:r>
        <w:rPr>
          <w:rFonts w:hint="eastAsia" w:hAnsi="宋体" w:cs="Arial"/>
          <w:sz w:val="24"/>
          <w:szCs w:val="24"/>
          <w:lang w:val="en-US" w:eastAsia="zh-CN"/>
        </w:rPr>
        <w:t>1</w:t>
      </w:r>
      <w:r>
        <w:rPr>
          <w:rFonts w:hint="eastAsia" w:hAnsi="宋体" w:cs="Arial"/>
          <w:sz w:val="24"/>
          <w:szCs w:val="24"/>
          <w:lang w:eastAsia="zh-CN"/>
        </w:rPr>
        <w:t>）</w:t>
      </w:r>
      <w:r>
        <w:rPr>
          <w:rFonts w:hint="eastAsia" w:hAnsi="宋体" w:cs="Arial"/>
          <w:sz w:val="24"/>
          <w:szCs w:val="24"/>
        </w:rPr>
        <w:t>本次综合评分的主要因素是：磋商报价、</w:t>
      </w:r>
      <w:r>
        <w:rPr>
          <w:rFonts w:hAnsi="宋体" w:cs="Arial"/>
          <w:sz w:val="24"/>
          <w:szCs w:val="24"/>
        </w:rPr>
        <w:t>技术</w:t>
      </w:r>
      <w:r>
        <w:rPr>
          <w:rFonts w:hint="eastAsia" w:hAnsi="宋体" w:cs="Arial"/>
          <w:sz w:val="24"/>
          <w:szCs w:val="24"/>
        </w:rPr>
        <w:t>水平、商务评价、</w:t>
      </w:r>
      <w:r>
        <w:rPr>
          <w:rFonts w:hAnsi="宋体" w:cs="Arial"/>
          <w:sz w:val="24"/>
          <w:szCs w:val="24"/>
        </w:rPr>
        <w:t>售后服务</w:t>
      </w:r>
      <w:r>
        <w:rPr>
          <w:rFonts w:hint="eastAsia" w:hAnsi="宋体" w:cs="Arial"/>
          <w:sz w:val="24"/>
          <w:szCs w:val="24"/>
        </w:rPr>
        <w:t>。</w:t>
      </w:r>
    </w:p>
    <w:p>
      <w:pPr>
        <w:pStyle w:val="17"/>
        <w:numPr>
          <w:ilvl w:val="1"/>
          <w:numId w:val="0"/>
        </w:numPr>
        <w:spacing w:line="360" w:lineRule="auto"/>
        <w:ind w:left="621" w:leftChars="0" w:hanging="480" w:firstLine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2</w:t>
      </w:r>
      <w:r>
        <w:rPr>
          <w:rFonts w:hint="eastAsia" w:hAnsi="宋体" w:cs="Arial"/>
          <w:sz w:val="24"/>
          <w:szCs w:val="24"/>
          <w:lang w:eastAsia="zh-CN"/>
        </w:rPr>
        <w:t>）</w:t>
      </w:r>
      <w:r>
        <w:rPr>
          <w:rFonts w:hint="eastAsia" w:hAnsi="宋体" w:cs="Arial"/>
          <w:sz w:val="24"/>
          <w:szCs w:val="24"/>
        </w:rPr>
        <w:t>除磋商价格因素外，评标委员会应依据磋商文件规定的评审方法和评审标准对其他因素进行客观评审；</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22</w:t>
      </w:r>
      <w:r>
        <w:rPr>
          <w:rFonts w:hint="eastAsia" w:ascii="宋体" w:hAnsi="宋体" w:eastAsia="宋体" w:cs="Times New Roman"/>
          <w:kern w:val="0"/>
          <w:sz w:val="24"/>
          <w:szCs w:val="24"/>
          <w:lang w:val="en-US" w:eastAsia="zh-CN" w:bidi="ar-SA"/>
        </w:rPr>
        <w:t>.2.</w:t>
      </w:r>
      <w:r>
        <w:rPr>
          <w:rFonts w:hint="eastAsia" w:hAnsi="宋体" w:cs="宋体"/>
          <w:sz w:val="24"/>
          <w:szCs w:val="24"/>
          <w:lang w:val="zh-CN"/>
        </w:rPr>
        <w:t>磋商响应文件中含义不明确、同类问题表述不一致或者有明显文字和计算错误的内容，评标委员会应当以书面形式要求供应商作出必要的澄清、说明或者补正。</w:t>
      </w:r>
    </w:p>
    <w:p>
      <w:pPr>
        <w:pStyle w:val="17"/>
        <w:spacing w:line="360" w:lineRule="auto"/>
        <w:ind w:left="621"/>
        <w:rPr>
          <w:rFonts w:hAnsi="宋体"/>
          <w:sz w:val="24"/>
          <w:szCs w:val="24"/>
        </w:rPr>
      </w:pPr>
      <w:r>
        <w:rPr>
          <w:rFonts w:hint="eastAsia" w:hAnsi="宋体" w:cs="宋体"/>
          <w:sz w:val="24"/>
          <w:szCs w:val="24"/>
          <w:lang w:val="zh-CN"/>
        </w:rPr>
        <w:t>供应商的澄清、说明或者补正应当采用书面形式，并加盖公章，或者由法定代表人或其授权的代表签字。供应商的澄清、说明或者补正不得超出磋商响应文件的范围或者改变磋商响应文件的实质性内容。</w:t>
      </w:r>
    </w:p>
    <w:p>
      <w:pPr>
        <w:pStyle w:val="17"/>
        <w:numPr>
          <w:ilvl w:val="0"/>
          <w:numId w:val="19"/>
        </w:numPr>
        <w:spacing w:line="360" w:lineRule="auto"/>
        <w:rPr>
          <w:rFonts w:hAnsi="宋体" w:cs="Arial"/>
          <w:sz w:val="24"/>
          <w:szCs w:val="24"/>
        </w:rPr>
      </w:pPr>
      <w:r>
        <w:rPr>
          <w:rFonts w:hint="eastAsia" w:hAnsi="宋体" w:cs="Arial"/>
          <w:sz w:val="24"/>
          <w:szCs w:val="24"/>
          <w:lang w:eastAsia="zh-CN"/>
        </w:rPr>
        <w:t>供应商</w:t>
      </w:r>
      <w:r>
        <w:rPr>
          <w:rFonts w:hint="eastAsia" w:hAnsi="宋体" w:cs="Arial"/>
          <w:sz w:val="24"/>
          <w:szCs w:val="24"/>
        </w:rPr>
        <w:t>存在下列情况之一的，按无效磋商处理：</w:t>
      </w:r>
    </w:p>
    <w:p>
      <w:pPr>
        <w:pStyle w:val="17"/>
        <w:numPr>
          <w:ilvl w:val="0"/>
          <w:numId w:val="20"/>
        </w:numPr>
        <w:spacing w:line="360" w:lineRule="auto"/>
        <w:rPr>
          <w:rFonts w:hAnsi="宋体" w:cs="Arial"/>
          <w:sz w:val="24"/>
          <w:szCs w:val="24"/>
        </w:rPr>
      </w:pPr>
      <w:r>
        <w:rPr>
          <w:rFonts w:hint="eastAsia" w:hAnsi="宋体" w:cs="宋体"/>
          <w:sz w:val="24"/>
          <w:szCs w:val="24"/>
          <w:lang w:val="zh-CN"/>
        </w:rPr>
        <w:t>符合性审查文件未按招标文件要求签署、盖章的；</w:t>
      </w:r>
    </w:p>
    <w:p>
      <w:pPr>
        <w:pStyle w:val="17"/>
        <w:numPr>
          <w:ilvl w:val="0"/>
          <w:numId w:val="20"/>
        </w:numPr>
        <w:spacing w:line="360" w:lineRule="auto"/>
        <w:rPr>
          <w:rFonts w:hAnsi="宋体" w:cs="Arial"/>
          <w:sz w:val="24"/>
          <w:szCs w:val="24"/>
        </w:rPr>
      </w:pPr>
      <w:r>
        <w:rPr>
          <w:rFonts w:hint="eastAsia" w:hAnsi="宋体" w:cs="Arial"/>
          <w:sz w:val="24"/>
          <w:szCs w:val="24"/>
        </w:rPr>
        <w:t>报价超过磋商文件中规定的预算金额或者最高限价的；</w:t>
      </w:r>
    </w:p>
    <w:p>
      <w:pPr>
        <w:pStyle w:val="17"/>
        <w:numPr>
          <w:ilvl w:val="0"/>
          <w:numId w:val="20"/>
        </w:numPr>
        <w:spacing w:line="360" w:lineRule="auto"/>
        <w:rPr>
          <w:rFonts w:hAnsi="宋体" w:cs="Arial"/>
          <w:sz w:val="24"/>
          <w:szCs w:val="24"/>
        </w:rPr>
      </w:pPr>
      <w:r>
        <w:rPr>
          <w:rFonts w:hint="eastAsia" w:hAnsi="宋体" w:cs="Arial"/>
          <w:sz w:val="24"/>
          <w:szCs w:val="24"/>
        </w:rPr>
        <w:t>产品交货期、磋商有效期不能满足磋商文件要求的；</w:t>
      </w:r>
    </w:p>
    <w:p>
      <w:pPr>
        <w:pStyle w:val="17"/>
        <w:numPr>
          <w:ilvl w:val="0"/>
          <w:numId w:val="20"/>
        </w:numPr>
        <w:spacing w:line="360" w:lineRule="auto"/>
        <w:rPr>
          <w:rFonts w:hAnsi="宋体" w:cs="Arial"/>
          <w:sz w:val="24"/>
          <w:szCs w:val="24"/>
        </w:rPr>
      </w:pPr>
      <w:r>
        <w:rPr>
          <w:rFonts w:hint="eastAsia" w:hAnsi="宋体" w:cs="Arial"/>
          <w:sz w:val="24"/>
          <w:szCs w:val="24"/>
        </w:rPr>
        <w:t>磋商响应文件中含有采购单位不能接受的条件的；</w:t>
      </w:r>
    </w:p>
    <w:p>
      <w:pPr>
        <w:pStyle w:val="17"/>
        <w:numPr>
          <w:ilvl w:val="0"/>
          <w:numId w:val="20"/>
        </w:numPr>
        <w:spacing w:line="360" w:lineRule="auto"/>
        <w:rPr>
          <w:rFonts w:hAnsi="宋体" w:cs="Arial"/>
          <w:sz w:val="24"/>
          <w:szCs w:val="24"/>
        </w:rPr>
      </w:pPr>
      <w:r>
        <w:rPr>
          <w:rFonts w:hint="eastAsia" w:hAnsi="宋体" w:cs="宋体"/>
          <w:sz w:val="24"/>
          <w:szCs w:val="24"/>
          <w:lang w:val="zh-CN"/>
        </w:rPr>
        <w:t>存在串通投标行为；</w:t>
      </w:r>
    </w:p>
    <w:p>
      <w:pPr>
        <w:pStyle w:val="17"/>
        <w:numPr>
          <w:ilvl w:val="0"/>
          <w:numId w:val="20"/>
        </w:numPr>
        <w:spacing w:line="360" w:lineRule="auto"/>
        <w:rPr>
          <w:rFonts w:hAnsi="宋体" w:cs="Arial"/>
          <w:sz w:val="24"/>
          <w:szCs w:val="24"/>
        </w:rPr>
      </w:pPr>
      <w:r>
        <w:rPr>
          <w:rFonts w:hint="eastAsia" w:hAnsi="宋体" w:cs="Arial"/>
          <w:sz w:val="24"/>
          <w:szCs w:val="24"/>
        </w:rPr>
        <w:t>法律、法规和磋商文件规定的其他无效情形。</w:t>
      </w:r>
    </w:p>
    <w:p>
      <w:pPr>
        <w:pStyle w:val="17"/>
        <w:numPr>
          <w:ilvl w:val="0"/>
          <w:numId w:val="19"/>
        </w:numPr>
        <w:spacing w:line="360" w:lineRule="auto"/>
        <w:rPr>
          <w:rFonts w:hAnsi="宋体" w:cs="Arial"/>
          <w:sz w:val="24"/>
          <w:szCs w:val="24"/>
        </w:rPr>
      </w:pPr>
      <w:r>
        <w:rPr>
          <w:rFonts w:hint="eastAsia" w:hAnsi="宋体" w:cs="Arial"/>
          <w:sz w:val="24"/>
          <w:szCs w:val="24"/>
        </w:rPr>
        <w:t>磋商响应文件报价出现前后不一致的，按照下列规定修正：</w:t>
      </w:r>
    </w:p>
    <w:p>
      <w:pPr>
        <w:pStyle w:val="17"/>
        <w:numPr>
          <w:ilvl w:val="0"/>
          <w:numId w:val="21"/>
        </w:numPr>
        <w:spacing w:line="360" w:lineRule="auto"/>
        <w:rPr>
          <w:rFonts w:hAnsi="宋体" w:cs="Arial"/>
          <w:sz w:val="24"/>
          <w:szCs w:val="24"/>
        </w:rPr>
      </w:pPr>
      <w:r>
        <w:rPr>
          <w:rFonts w:hint="eastAsia" w:hAnsi="宋体" w:cs="Arial"/>
          <w:sz w:val="24"/>
          <w:szCs w:val="24"/>
        </w:rPr>
        <w:t>大写金额和小写金额不一致的，以大写金额为准；</w:t>
      </w:r>
    </w:p>
    <w:p>
      <w:pPr>
        <w:pStyle w:val="17"/>
        <w:numPr>
          <w:ilvl w:val="0"/>
          <w:numId w:val="21"/>
        </w:numPr>
        <w:spacing w:line="360" w:lineRule="auto"/>
        <w:rPr>
          <w:rFonts w:hAnsi="宋体" w:cs="Arial"/>
          <w:sz w:val="24"/>
          <w:szCs w:val="24"/>
        </w:rPr>
      </w:pPr>
      <w:r>
        <w:rPr>
          <w:rFonts w:hint="eastAsia" w:hAnsi="宋体" w:cs="Arial"/>
          <w:sz w:val="24"/>
          <w:szCs w:val="24"/>
        </w:rPr>
        <w:t>总价金额与按单价汇总金额不一致的，以单价金额计算结果为准。</w:t>
      </w:r>
    </w:p>
    <w:p>
      <w:pPr>
        <w:pStyle w:val="17"/>
        <w:numPr>
          <w:ilvl w:val="1"/>
          <w:numId w:val="0"/>
        </w:numPr>
        <w:spacing w:line="360" w:lineRule="auto"/>
        <w:ind w:left="621" w:leftChars="0" w:hanging="480" w:firstLineChars="0"/>
        <w:rPr>
          <w:rFonts w:hAnsi="宋体" w:cs="Arial"/>
          <w:sz w:val="24"/>
          <w:szCs w:val="24"/>
        </w:rPr>
      </w:pPr>
      <w:r>
        <w:rPr>
          <w:rFonts w:hint="eastAsia" w:hAnsi="宋体" w:cs="Arial"/>
          <w:kern w:val="0"/>
          <w:sz w:val="24"/>
          <w:szCs w:val="24"/>
          <w:lang w:val="en-US" w:eastAsia="zh-CN" w:bidi="ar-SA"/>
        </w:rPr>
        <w:t>22</w:t>
      </w:r>
      <w:r>
        <w:rPr>
          <w:rFonts w:hint="eastAsia" w:ascii="宋体" w:hAnsi="宋体" w:eastAsia="宋体" w:cs="Arial"/>
          <w:kern w:val="0"/>
          <w:sz w:val="24"/>
          <w:szCs w:val="24"/>
          <w:lang w:val="en-US" w:eastAsia="zh-CN" w:bidi="ar-SA"/>
        </w:rPr>
        <w:t>.3.</w:t>
      </w:r>
      <w:r>
        <w:rPr>
          <w:rFonts w:hint="eastAsia" w:hAnsi="宋体" w:cs="宋体"/>
          <w:sz w:val="24"/>
          <w:szCs w:val="24"/>
          <w:shd w:val="clear" w:color="auto" w:fill="FFFFFF"/>
        </w:rPr>
        <w:t>评标委员会应当按照磋商文件中规定的评标方法和标准，对符合性审查合格的磋商响应文件进行商务和技术评估，综合比较与评价。</w:t>
      </w:r>
    </w:p>
    <w:p>
      <w:pPr>
        <w:pStyle w:val="17"/>
        <w:numPr>
          <w:ilvl w:val="1"/>
          <w:numId w:val="0"/>
        </w:numPr>
        <w:spacing w:line="360" w:lineRule="auto"/>
        <w:ind w:left="621" w:leftChars="0" w:hanging="480" w:firstLineChars="0"/>
        <w:rPr>
          <w:rFonts w:hAnsi="宋体" w:cs="Arial"/>
          <w:sz w:val="24"/>
          <w:szCs w:val="24"/>
        </w:rPr>
      </w:pPr>
      <w:r>
        <w:rPr>
          <w:rFonts w:hint="eastAsia" w:hAnsi="宋体" w:cs="Arial"/>
          <w:kern w:val="0"/>
          <w:sz w:val="24"/>
          <w:szCs w:val="24"/>
          <w:lang w:val="en-US" w:eastAsia="zh-CN" w:bidi="ar-SA"/>
        </w:rPr>
        <w:t>22</w:t>
      </w:r>
      <w:r>
        <w:rPr>
          <w:rFonts w:hint="eastAsia" w:ascii="宋体" w:hAnsi="宋体" w:eastAsia="宋体" w:cs="Arial"/>
          <w:kern w:val="0"/>
          <w:sz w:val="24"/>
          <w:szCs w:val="24"/>
          <w:lang w:val="en-US" w:eastAsia="zh-CN" w:bidi="ar-SA"/>
        </w:rPr>
        <w:t>.4.</w:t>
      </w:r>
      <w:r>
        <w:rPr>
          <w:rFonts w:hint="eastAsia" w:hAnsi="宋体" w:cs="宋体"/>
          <w:sz w:val="24"/>
          <w:szCs w:val="24"/>
          <w:shd w:val="clear" w:color="auto" w:fill="FFFFFF"/>
        </w:rPr>
        <w:t>评标委员会认为</w:t>
      </w:r>
      <w:r>
        <w:rPr>
          <w:rFonts w:hint="eastAsia" w:hAnsi="宋体" w:cs="宋体"/>
          <w:sz w:val="24"/>
          <w:szCs w:val="24"/>
          <w:shd w:val="clear" w:color="auto" w:fill="FFFFFF"/>
          <w:lang w:eastAsia="zh-CN"/>
        </w:rPr>
        <w:t>供应商</w:t>
      </w:r>
      <w:r>
        <w:rPr>
          <w:rFonts w:hint="eastAsia" w:hAnsi="宋体" w:cs="宋体"/>
          <w:sz w:val="24"/>
          <w:szCs w:val="24"/>
          <w:shd w:val="clear" w:color="auto" w:fill="FFFFFF"/>
        </w:rPr>
        <w:t>的报价明显低于其他通过符合性审查</w:t>
      </w:r>
      <w:r>
        <w:rPr>
          <w:rFonts w:hint="eastAsia" w:hAnsi="宋体" w:cs="宋体"/>
          <w:sz w:val="24"/>
          <w:szCs w:val="24"/>
          <w:shd w:val="clear" w:color="auto" w:fill="FFFFFF"/>
          <w:lang w:eastAsia="zh-CN"/>
        </w:rPr>
        <w:t>供应商</w:t>
      </w:r>
      <w:r>
        <w:rPr>
          <w:rFonts w:hint="eastAsia" w:hAnsi="宋体" w:cs="宋体"/>
          <w:sz w:val="24"/>
          <w:szCs w:val="24"/>
          <w:shd w:val="clear" w:color="auto" w:fill="FFFFFF"/>
        </w:rPr>
        <w:t>的报价，有可能影响产品质量或者不能诚信履约的，应当要求其在评标现场合理的时间内提供书面说明，必要时提交相关证明材料；</w:t>
      </w:r>
      <w:r>
        <w:rPr>
          <w:rFonts w:hint="eastAsia" w:hAnsi="宋体" w:cs="宋体"/>
          <w:sz w:val="24"/>
          <w:szCs w:val="24"/>
          <w:shd w:val="clear" w:color="auto" w:fill="FFFFFF"/>
          <w:lang w:eastAsia="zh-CN"/>
        </w:rPr>
        <w:t>供应商</w:t>
      </w:r>
      <w:r>
        <w:rPr>
          <w:rFonts w:hint="eastAsia" w:hAnsi="宋体" w:cs="宋体"/>
          <w:sz w:val="24"/>
          <w:szCs w:val="24"/>
          <w:shd w:val="clear" w:color="auto" w:fill="FFFFFF"/>
        </w:rPr>
        <w:t>不能证明其报价合理性的，评标委员会应当将其作为无效投标处理。</w:t>
      </w:r>
    </w:p>
    <w:p>
      <w:pPr>
        <w:numPr>
          <w:ilvl w:val="0"/>
          <w:numId w:val="4"/>
        </w:numPr>
        <w:spacing w:before="0" w:after="0" w:line="360" w:lineRule="auto"/>
        <w:outlineLvl w:val="9"/>
        <w:rPr>
          <w:rFonts w:ascii="宋体" w:hAnsi="宋体"/>
          <w:b w:val="0"/>
          <w:sz w:val="24"/>
          <w:szCs w:val="24"/>
        </w:rPr>
      </w:pPr>
      <w:bookmarkStart w:id="62" w:name="_Toc3127"/>
      <w:bookmarkStart w:id="63" w:name="_Toc488673635"/>
      <w:r>
        <w:rPr>
          <w:rFonts w:hint="eastAsia" w:ascii="宋体" w:hAnsi="宋体"/>
          <w:b w:val="0"/>
          <w:sz w:val="24"/>
          <w:szCs w:val="24"/>
        </w:rPr>
        <w:t>评审办法</w:t>
      </w:r>
      <w:bookmarkEnd w:id="62"/>
      <w:bookmarkEnd w:id="63"/>
    </w:p>
    <w:p>
      <w:pPr>
        <w:pStyle w:val="17"/>
        <w:numPr>
          <w:ilvl w:val="1"/>
          <w:numId w:val="22"/>
        </w:numPr>
        <w:spacing w:line="360" w:lineRule="auto"/>
        <w:rPr>
          <w:rFonts w:hAnsi="宋体"/>
          <w:sz w:val="24"/>
          <w:szCs w:val="24"/>
        </w:rPr>
      </w:pPr>
      <w:r>
        <w:rPr>
          <w:rFonts w:hint="eastAsia" w:hAnsi="宋体"/>
          <w:sz w:val="24"/>
          <w:szCs w:val="24"/>
        </w:rPr>
        <w:t>依照《中华人民共和国政府采购法》、《中华人民共和国政府采购法实施条例》、财政部《政府采购货物和服务招投标管理办法》、《政府采购竞争性磋商采购方式管理暂行办法》、财政部《关于加强政府采购货物和服务项目价格评审管理的通知》的规定，结合该项目的特点制定本评审办法。本次评审采用综合评分法，满分为100分。</w:t>
      </w:r>
    </w:p>
    <w:p>
      <w:pPr>
        <w:pStyle w:val="17"/>
        <w:numPr>
          <w:ilvl w:val="1"/>
          <w:numId w:val="22"/>
        </w:numPr>
        <w:spacing w:line="360" w:lineRule="auto"/>
        <w:rPr>
          <w:rFonts w:hAnsi="宋体"/>
          <w:sz w:val="24"/>
          <w:szCs w:val="24"/>
        </w:rPr>
      </w:pPr>
      <w:r>
        <w:rPr>
          <w:rFonts w:hAnsi="宋体" w:cs="Arial"/>
          <w:sz w:val="24"/>
          <w:szCs w:val="24"/>
        </w:rPr>
        <w:t>评审标准和分值分配</w:t>
      </w:r>
      <w:r>
        <w:rPr>
          <w:rFonts w:hint="eastAsia" w:hAnsi="宋体" w:cs="Arial"/>
          <w:sz w:val="24"/>
          <w:szCs w:val="24"/>
        </w:rPr>
        <w:t>：</w:t>
      </w:r>
    </w:p>
    <w:p>
      <w:pPr>
        <w:rPr>
          <w:rFonts w:hint="eastAsia" w:hAnsi="宋体"/>
          <w:b/>
          <w:sz w:val="24"/>
          <w:szCs w:val="24"/>
        </w:rPr>
      </w:pPr>
      <w:bookmarkStart w:id="64" w:name="_Hlk497723873"/>
      <w:r>
        <w:rPr>
          <w:rFonts w:hint="eastAsia" w:hAnsi="宋体"/>
          <w:b/>
          <w:sz w:val="24"/>
          <w:szCs w:val="24"/>
        </w:rPr>
        <w:br w:type="page"/>
      </w:r>
    </w:p>
    <w:p>
      <w:pPr>
        <w:pStyle w:val="17"/>
        <w:spacing w:line="360" w:lineRule="auto"/>
        <w:rPr>
          <w:rFonts w:hint="eastAsia" w:hAnsi="宋体"/>
          <w:b/>
          <w:sz w:val="24"/>
          <w:szCs w:val="24"/>
        </w:rPr>
      </w:pPr>
      <w:r>
        <w:rPr>
          <w:rFonts w:hint="eastAsia" w:hAnsi="宋体"/>
          <w:b/>
          <w:sz w:val="24"/>
          <w:szCs w:val="24"/>
        </w:rPr>
        <w:t>具体项目及评分细则：</w:t>
      </w:r>
    </w:p>
    <w:tbl>
      <w:tblPr>
        <w:tblStyle w:val="33"/>
        <w:tblpPr w:leftFromText="180" w:rightFromText="180" w:vertAnchor="text" w:horzAnchor="page" w:tblpX="1207" w:tblpY="450"/>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00"/>
        <w:gridCol w:w="1756"/>
        <w:gridCol w:w="6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trPr>
        <w:tc>
          <w:tcPr>
            <w:tcW w:w="1200" w:type="dxa"/>
            <w:shd w:val="clear" w:color="auto" w:fill="auto"/>
            <w:noWrap w:val="0"/>
            <w:vAlign w:val="center"/>
          </w:tcPr>
          <w:p>
            <w:pPr>
              <w:spacing w:line="360" w:lineRule="auto"/>
              <w:rPr>
                <w:rFonts w:hint="eastAsia" w:ascii="宋体" w:hAnsi="宋体" w:eastAsia="宋体" w:cs="宋体"/>
                <w:color w:val="000000"/>
                <w:sz w:val="24"/>
                <w:szCs w:val="24"/>
                <w:lang w:val="zh-CN"/>
              </w:rPr>
            </w:pPr>
            <w:r>
              <w:rPr>
                <w:rFonts w:hint="eastAsia" w:ascii="宋体" w:hAnsi="宋体" w:cs="宋体"/>
                <w:color w:val="000000"/>
                <w:sz w:val="24"/>
                <w:szCs w:val="24"/>
                <w:lang w:val="en-US" w:eastAsia="zh-CN"/>
              </w:rPr>
              <w:t>项目</w:t>
            </w:r>
            <w:r>
              <w:rPr>
                <w:rFonts w:hint="eastAsia" w:ascii="宋体" w:hAnsi="宋体" w:eastAsia="宋体" w:cs="宋体"/>
                <w:color w:val="000000"/>
                <w:sz w:val="24"/>
                <w:szCs w:val="24"/>
                <w:lang w:val="zh-CN"/>
              </w:rPr>
              <w:t>类别</w:t>
            </w:r>
          </w:p>
        </w:tc>
        <w:tc>
          <w:tcPr>
            <w:tcW w:w="8406" w:type="dxa"/>
            <w:gridSpan w:val="2"/>
            <w:shd w:val="clear" w:color="auto" w:fill="auto"/>
            <w:noWrap w:val="0"/>
            <w:vAlign w:val="center"/>
          </w:tcPr>
          <w:p>
            <w:pPr>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14" w:hRule="atLeast"/>
        </w:trPr>
        <w:tc>
          <w:tcPr>
            <w:tcW w:w="1200" w:type="dxa"/>
            <w:shd w:val="clear" w:color="auto" w:fill="auto"/>
            <w:noWrap w:val="0"/>
            <w:vAlign w:val="center"/>
          </w:tcPr>
          <w:p>
            <w:pPr>
              <w:spacing w:line="360" w:lineRule="auto"/>
              <w:jc w:val="center"/>
              <w:rPr>
                <w:rFonts w:hint="eastAsia" w:ascii="宋体" w:hAnsi="宋体" w:eastAsia="宋体" w:cs="宋体"/>
                <w:color w:val="000000"/>
                <w:sz w:val="24"/>
                <w:szCs w:val="24"/>
                <w:lang w:val="zh-CN"/>
              </w:rPr>
            </w:pPr>
            <w:r>
              <w:rPr>
                <w:rFonts w:hint="eastAsia" w:ascii="宋体" w:hAnsi="宋体" w:cs="宋体"/>
                <w:color w:val="000000"/>
                <w:sz w:val="24"/>
                <w:szCs w:val="24"/>
                <w:lang w:val="en-US" w:eastAsia="zh-CN"/>
              </w:rPr>
              <w:t>报价评审30</w:t>
            </w:r>
            <w:r>
              <w:rPr>
                <w:rFonts w:hint="eastAsia" w:ascii="宋体" w:hAnsi="宋体" w:eastAsia="宋体" w:cs="宋体"/>
                <w:color w:val="000000"/>
                <w:sz w:val="24"/>
                <w:szCs w:val="24"/>
                <w:lang w:val="zh-CN"/>
              </w:rPr>
              <w:t>分</w:t>
            </w:r>
          </w:p>
        </w:tc>
        <w:tc>
          <w:tcPr>
            <w:tcW w:w="8406" w:type="dxa"/>
            <w:gridSpan w:val="2"/>
            <w:shd w:val="clear" w:color="auto" w:fill="auto"/>
            <w:noWrap w:val="0"/>
            <w:vAlign w:val="center"/>
          </w:tcPr>
          <w:p>
            <w:pPr>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在所有的有效投标报价中，以最低投标报价为基准价，其价格分为满分。其他投标人的报价分统一按下列公式计算：投标报价得分=(评标基准价／投标报价)×价格权值（</w:t>
            </w:r>
            <w:r>
              <w:rPr>
                <w:rFonts w:hint="eastAsia" w:ascii="宋体" w:hAnsi="宋体" w:eastAsia="宋体" w:cs="宋体"/>
                <w:color w:val="000000"/>
                <w:sz w:val="24"/>
                <w:szCs w:val="24"/>
              </w:rPr>
              <w:t>3</w:t>
            </w:r>
            <w:r>
              <w:rPr>
                <w:rFonts w:hint="eastAsia" w:ascii="宋体" w:hAnsi="宋体" w:eastAsia="宋体" w:cs="宋体"/>
                <w:color w:val="000000"/>
                <w:sz w:val="24"/>
                <w:szCs w:val="24"/>
                <w:lang w:val="zh-CN"/>
              </w:rPr>
              <w:t>0%）×100（四舍五入后保留小数点后两位）。</w:t>
            </w:r>
          </w:p>
          <w:p>
            <w:pPr>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注：根据《政府采购促进中小企业发展暂行办法》 的相关规定，对残疾人福利性单位、监狱企业、小型和微型企业制造（生产）产品的价格给予10%的扣除，用扣除后的价格参与评审。</w:t>
            </w:r>
          </w:p>
          <w:p>
            <w:pPr>
              <w:spacing w:line="360" w:lineRule="auto"/>
              <w:ind w:firstLine="48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因本项目为中小企业预留项目，价格不做扣除优惠评审。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3" w:hRule="atLeast"/>
        </w:trPr>
        <w:tc>
          <w:tcPr>
            <w:tcW w:w="1200" w:type="dxa"/>
            <w:vMerge w:val="restart"/>
            <w:shd w:val="clear" w:color="auto" w:fill="auto"/>
            <w:noWrap w:val="0"/>
            <w:vAlign w:val="center"/>
          </w:tcPr>
          <w:p>
            <w:pPr>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技术</w:t>
            </w:r>
            <w:r>
              <w:rPr>
                <w:rFonts w:hint="eastAsia" w:ascii="宋体" w:hAnsi="宋体" w:cs="宋体"/>
                <w:color w:val="000000"/>
                <w:sz w:val="24"/>
                <w:szCs w:val="24"/>
                <w:lang w:val="en-US" w:eastAsia="zh-CN"/>
              </w:rPr>
              <w:t>部分50分</w:t>
            </w:r>
          </w:p>
        </w:tc>
        <w:tc>
          <w:tcPr>
            <w:tcW w:w="1756" w:type="dxa"/>
            <w:shd w:val="clear" w:color="auto" w:fill="auto"/>
            <w:noWrap w:val="0"/>
            <w:vAlign w:val="center"/>
          </w:tcPr>
          <w:p>
            <w:pPr>
              <w:spacing w:line="360" w:lineRule="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技术参数（</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0分）</w:t>
            </w:r>
          </w:p>
        </w:tc>
        <w:tc>
          <w:tcPr>
            <w:tcW w:w="6650" w:type="dxa"/>
            <w:shd w:val="clear" w:color="auto" w:fill="auto"/>
            <w:noWrap w:val="0"/>
            <w:vAlign w:val="center"/>
          </w:tcPr>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val="zh-CN"/>
              </w:rPr>
              <w:t>投标产品技术参数和配置完全满足或高于</w:t>
            </w:r>
            <w:r>
              <w:rPr>
                <w:rFonts w:hint="eastAsia" w:ascii="宋体" w:hAnsi="宋体" w:cs="宋体"/>
                <w:color w:val="000000"/>
                <w:sz w:val="24"/>
                <w:szCs w:val="24"/>
                <w:lang w:val="en-US" w:eastAsia="zh-CN"/>
              </w:rPr>
              <w:t>磋商</w:t>
            </w:r>
            <w:r>
              <w:rPr>
                <w:rFonts w:hint="eastAsia" w:ascii="宋体" w:hAnsi="宋体" w:eastAsia="宋体" w:cs="宋体"/>
                <w:color w:val="000000"/>
                <w:sz w:val="24"/>
                <w:szCs w:val="24"/>
                <w:lang w:val="zh-CN"/>
              </w:rPr>
              <w:t>文件要求的，得</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lang w:val="zh-CN"/>
              </w:rPr>
              <w:t>分；每有一项负偏离扣</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val="zh-CN"/>
              </w:rPr>
              <w:t>分；扣完为止</w:t>
            </w:r>
            <w:r>
              <w:rPr>
                <w:rFonts w:hint="eastAsia" w:ascii="宋体" w:hAnsi="宋体" w:eastAsia="宋体" w:cs="宋体"/>
                <w:color w:val="00000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4" w:hRule="atLeast"/>
        </w:trPr>
        <w:tc>
          <w:tcPr>
            <w:tcW w:w="1200" w:type="dxa"/>
            <w:vMerge w:val="continue"/>
            <w:shd w:val="clear" w:color="auto" w:fill="auto"/>
            <w:noWrap w:val="0"/>
            <w:vAlign w:val="center"/>
          </w:tcPr>
          <w:p>
            <w:pPr>
              <w:spacing w:line="360" w:lineRule="auto"/>
              <w:ind w:firstLine="480"/>
              <w:rPr>
                <w:rFonts w:hint="eastAsia" w:ascii="宋体" w:hAnsi="宋体" w:eastAsia="宋体" w:cs="宋体"/>
                <w:color w:val="000000"/>
                <w:sz w:val="24"/>
                <w:szCs w:val="24"/>
                <w:lang w:val="zh-CN"/>
              </w:rPr>
            </w:pPr>
          </w:p>
        </w:tc>
        <w:tc>
          <w:tcPr>
            <w:tcW w:w="1756" w:type="dxa"/>
            <w:shd w:val="clear" w:color="auto" w:fill="auto"/>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项目管理及实施方案</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10分</w:t>
            </w:r>
            <w:r>
              <w:rPr>
                <w:rFonts w:hint="eastAsia" w:ascii="宋体" w:hAnsi="宋体" w:cs="宋体"/>
                <w:color w:val="000000"/>
                <w:sz w:val="24"/>
                <w:szCs w:val="24"/>
                <w:lang w:eastAsia="zh-CN"/>
              </w:rPr>
              <w:t>）</w:t>
            </w:r>
          </w:p>
        </w:tc>
        <w:tc>
          <w:tcPr>
            <w:tcW w:w="6650" w:type="dxa"/>
            <w:shd w:val="clear" w:color="auto" w:fill="auto"/>
            <w:noWrap w:val="0"/>
            <w:vAlign w:val="center"/>
          </w:tcPr>
          <w:p>
            <w:pPr>
              <w:spacing w:line="360" w:lineRule="auto"/>
              <w:ind w:firstLine="240" w:firstLineChars="100"/>
              <w:jc w:val="left"/>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针对该项目实际情况制定实施方案，方案部署合理、作业顺序切实可行、技术措施针对性强、 目标管理明确，机械设备、运输车辆配备应满足项目实施要求。</w:t>
            </w:r>
          </w:p>
          <w:p>
            <w:pPr>
              <w:spacing w:line="360" w:lineRule="auto"/>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zh-CN" w:eastAsia="zh-CN"/>
              </w:rPr>
              <w:t>方案完整、计划科学合理、措施得当、设备</w:t>
            </w:r>
            <w:r>
              <w:rPr>
                <w:rFonts w:hint="eastAsia" w:ascii="宋体" w:hAnsi="宋体" w:cs="宋体"/>
                <w:color w:val="000000"/>
                <w:sz w:val="24"/>
                <w:szCs w:val="24"/>
                <w:lang w:val="en-US" w:eastAsia="zh-CN"/>
              </w:rPr>
              <w:t>及人员</w:t>
            </w:r>
            <w:r>
              <w:rPr>
                <w:rFonts w:hint="eastAsia" w:ascii="宋体" w:hAnsi="宋体" w:eastAsia="宋体" w:cs="宋体"/>
                <w:color w:val="000000"/>
                <w:sz w:val="24"/>
                <w:szCs w:val="24"/>
                <w:lang w:val="zh-CN" w:eastAsia="zh-CN"/>
              </w:rPr>
              <w:t xml:space="preserve">配备完全满足项目实施要求的得 </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zh-CN" w:eastAsia="zh-CN"/>
              </w:rPr>
              <w:t xml:space="preserve">分；内容较完整、计划科学合理、措施较得当、能保证项目顺利实施的得 </w:t>
            </w:r>
            <w:r>
              <w:rPr>
                <w:rFonts w:hint="eastAsia" w:ascii="宋体" w:hAnsi="宋体" w:cs="宋体"/>
                <w:color w:val="000000"/>
                <w:sz w:val="24"/>
                <w:szCs w:val="24"/>
                <w:lang w:val="en-US" w:eastAsia="zh-CN"/>
              </w:rPr>
              <w:t>7</w:t>
            </w:r>
            <w:r>
              <w:rPr>
                <w:rFonts w:hint="eastAsia" w:ascii="宋体" w:hAnsi="宋体" w:eastAsia="宋体" w:cs="宋体"/>
                <w:color w:val="000000"/>
                <w:sz w:val="24"/>
                <w:szCs w:val="24"/>
                <w:lang w:val="zh-CN" w:eastAsia="zh-CN"/>
              </w:rPr>
              <w:t xml:space="preserve">分； 内容基本完整、基本能保证项目实施的得 </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zh-CN" w:eastAsia="zh-CN"/>
              </w:rPr>
              <w:t xml:space="preserve"> 分； 内容简单、计划措施单一，不能完全满足项目实施的得 1 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38" w:hRule="atLeast"/>
        </w:trPr>
        <w:tc>
          <w:tcPr>
            <w:tcW w:w="1200" w:type="dxa"/>
            <w:vMerge w:val="continue"/>
            <w:shd w:val="clear" w:color="auto" w:fill="auto"/>
            <w:noWrap w:val="0"/>
            <w:vAlign w:val="center"/>
          </w:tcPr>
          <w:p>
            <w:pPr>
              <w:spacing w:line="360" w:lineRule="auto"/>
              <w:ind w:firstLine="480"/>
              <w:rPr>
                <w:rFonts w:hint="eastAsia" w:ascii="宋体" w:hAnsi="宋体" w:eastAsia="宋体" w:cs="宋体"/>
                <w:color w:val="000000"/>
                <w:sz w:val="24"/>
                <w:szCs w:val="24"/>
                <w:lang w:val="zh-CN"/>
              </w:rPr>
            </w:pPr>
          </w:p>
        </w:tc>
        <w:tc>
          <w:tcPr>
            <w:tcW w:w="1756" w:type="dxa"/>
            <w:shd w:val="clear" w:color="auto" w:fill="auto"/>
            <w:noWrap w:val="0"/>
            <w:vAlign w:val="center"/>
          </w:tcPr>
          <w:p>
            <w:pPr>
              <w:spacing w:line="360" w:lineRule="auto"/>
              <w:rPr>
                <w:rFonts w:hint="default" w:ascii="宋体" w:hAnsi="宋体" w:eastAsia="宋体" w:cs="宋体"/>
                <w:color w:val="000000"/>
                <w:sz w:val="24"/>
                <w:szCs w:val="24"/>
                <w:lang w:val="en-US"/>
              </w:rPr>
            </w:pPr>
            <w:r>
              <w:rPr>
                <w:rFonts w:hint="default" w:ascii="宋体" w:hAnsi="宋体" w:eastAsia="宋体" w:cs="宋体"/>
                <w:color w:val="000000"/>
                <w:sz w:val="24"/>
                <w:szCs w:val="24"/>
                <w:lang w:val="en-US"/>
              </w:rPr>
              <w:t>供货质量保证措施（</w:t>
            </w:r>
            <w:r>
              <w:rPr>
                <w:rFonts w:hint="eastAsia" w:ascii="宋体" w:hAnsi="宋体" w:cs="宋体"/>
                <w:color w:val="000000"/>
                <w:sz w:val="24"/>
                <w:szCs w:val="24"/>
                <w:lang w:val="en-US" w:eastAsia="zh-CN"/>
              </w:rPr>
              <w:t>8</w:t>
            </w:r>
            <w:r>
              <w:rPr>
                <w:rFonts w:hint="default" w:ascii="宋体" w:hAnsi="宋体" w:eastAsia="宋体" w:cs="宋体"/>
                <w:color w:val="000000"/>
                <w:sz w:val="24"/>
                <w:szCs w:val="24"/>
                <w:lang w:val="en-US"/>
              </w:rPr>
              <w:t>分）</w:t>
            </w:r>
          </w:p>
          <w:p>
            <w:pPr>
              <w:spacing w:line="360" w:lineRule="auto"/>
              <w:rPr>
                <w:rFonts w:hint="default" w:ascii="宋体" w:hAnsi="宋体" w:eastAsia="宋体" w:cs="宋体"/>
                <w:color w:val="000000"/>
                <w:sz w:val="24"/>
                <w:szCs w:val="24"/>
                <w:lang w:val="en-US" w:eastAsia="zh-CN"/>
              </w:rPr>
            </w:pPr>
          </w:p>
        </w:tc>
        <w:tc>
          <w:tcPr>
            <w:tcW w:w="6650" w:type="dxa"/>
            <w:shd w:val="clear" w:color="auto" w:fill="auto"/>
            <w:noWrap w:val="0"/>
            <w:vAlign w:val="center"/>
          </w:tcPr>
          <w:p>
            <w:pPr>
              <w:spacing w:line="360" w:lineRule="auto"/>
              <w:ind w:firstLine="240" w:firstLineChars="100"/>
              <w:rPr>
                <w:rFonts w:hint="default" w:ascii="宋体" w:hAnsi="宋体" w:eastAsia="宋体" w:cs="宋体"/>
                <w:color w:val="000000"/>
                <w:sz w:val="24"/>
                <w:szCs w:val="24"/>
                <w:lang w:val="en-US"/>
              </w:rPr>
            </w:pPr>
            <w:r>
              <w:rPr>
                <w:rFonts w:hint="default" w:ascii="宋体" w:hAnsi="宋体" w:eastAsia="宋体" w:cs="宋体"/>
                <w:color w:val="000000"/>
                <w:sz w:val="24"/>
                <w:szCs w:val="24"/>
                <w:lang w:val="en-US"/>
              </w:rPr>
              <w:t>根据采购内容制定相应的产品质量、服务（运输、安装/栽植</w:t>
            </w:r>
            <w:r>
              <w:rPr>
                <w:rFonts w:hint="eastAsia" w:ascii="宋体" w:hAnsi="宋体" w:cs="宋体"/>
                <w:color w:val="000000"/>
                <w:sz w:val="24"/>
                <w:szCs w:val="24"/>
                <w:lang w:val="en-US" w:eastAsia="zh-CN"/>
              </w:rPr>
              <w:t>/管护</w:t>
            </w:r>
            <w:r>
              <w:rPr>
                <w:rFonts w:hint="default" w:ascii="宋体" w:hAnsi="宋体" w:eastAsia="宋体" w:cs="宋体"/>
                <w:color w:val="000000"/>
                <w:sz w:val="24"/>
                <w:szCs w:val="24"/>
                <w:lang w:val="en-US"/>
              </w:rPr>
              <w:t>）等质量保证措施。 管理制度健全有效、人员责任明确、措施制定合理、内容齐全的得</w:t>
            </w:r>
            <w:r>
              <w:rPr>
                <w:rFonts w:hint="eastAsia" w:ascii="宋体" w:hAnsi="宋体" w:cs="宋体"/>
                <w:color w:val="000000"/>
                <w:sz w:val="24"/>
                <w:szCs w:val="24"/>
                <w:lang w:val="en-US" w:eastAsia="zh-CN"/>
              </w:rPr>
              <w:t>8</w:t>
            </w:r>
            <w:r>
              <w:rPr>
                <w:rFonts w:hint="default" w:ascii="宋体" w:hAnsi="宋体" w:eastAsia="宋体" w:cs="宋体"/>
                <w:color w:val="000000"/>
                <w:sz w:val="24"/>
                <w:szCs w:val="24"/>
                <w:lang w:val="en-US"/>
              </w:rPr>
              <w:t>分，管理制度、人员责任能满足磋商文件要求、措施制定合理、齐全的得</w:t>
            </w:r>
            <w:r>
              <w:rPr>
                <w:rFonts w:hint="eastAsia" w:ascii="宋体" w:hAnsi="宋体" w:cs="宋体"/>
                <w:color w:val="000000"/>
                <w:sz w:val="24"/>
                <w:szCs w:val="24"/>
                <w:lang w:val="en-US" w:eastAsia="zh-CN"/>
              </w:rPr>
              <w:t>6</w:t>
            </w:r>
            <w:r>
              <w:rPr>
                <w:rFonts w:hint="default" w:ascii="宋体" w:hAnsi="宋体" w:eastAsia="宋体" w:cs="宋体"/>
                <w:color w:val="000000"/>
                <w:sz w:val="24"/>
                <w:szCs w:val="24"/>
                <w:lang w:val="en-US"/>
              </w:rPr>
              <w:t>分，管理制度、措施制定简单的得</w:t>
            </w:r>
            <w:r>
              <w:rPr>
                <w:rFonts w:hint="eastAsia" w:ascii="宋体" w:hAnsi="宋体" w:cs="宋体"/>
                <w:color w:val="000000"/>
                <w:sz w:val="24"/>
                <w:szCs w:val="24"/>
                <w:lang w:val="en-US" w:eastAsia="zh-CN"/>
              </w:rPr>
              <w:t>3</w:t>
            </w:r>
            <w:r>
              <w:rPr>
                <w:rFonts w:hint="default" w:ascii="宋体" w:hAnsi="宋体" w:eastAsia="宋体" w:cs="宋体"/>
                <w:color w:val="000000"/>
                <w:sz w:val="24"/>
                <w:szCs w:val="24"/>
                <w:lang w:val="en-US"/>
              </w:rPr>
              <w:t>分，只提供单一措施项且内容模糊、笼统的得</w:t>
            </w:r>
            <w:r>
              <w:rPr>
                <w:rFonts w:hint="eastAsia" w:ascii="宋体" w:hAnsi="宋体" w:cs="宋体"/>
                <w:color w:val="000000"/>
                <w:sz w:val="24"/>
                <w:szCs w:val="24"/>
                <w:lang w:val="en-US" w:eastAsia="zh-CN"/>
              </w:rPr>
              <w:t>1</w:t>
            </w:r>
            <w:r>
              <w:rPr>
                <w:rFonts w:hint="default" w:ascii="宋体" w:hAnsi="宋体" w:eastAsia="宋体" w:cs="宋体"/>
                <w:color w:val="000000"/>
                <w:sz w:val="24"/>
                <w:szCs w:val="24"/>
                <w:lang w:val="en-US"/>
              </w:rPr>
              <w:t>分，未提供者该项不得分；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91" w:hRule="atLeast"/>
        </w:trPr>
        <w:tc>
          <w:tcPr>
            <w:tcW w:w="1200" w:type="dxa"/>
            <w:vMerge w:val="continue"/>
            <w:shd w:val="clear" w:color="auto" w:fill="auto"/>
            <w:noWrap w:val="0"/>
            <w:vAlign w:val="center"/>
          </w:tcPr>
          <w:p>
            <w:pPr>
              <w:spacing w:line="360" w:lineRule="auto"/>
              <w:ind w:firstLine="480"/>
              <w:rPr>
                <w:rFonts w:hint="eastAsia" w:ascii="宋体" w:hAnsi="宋体" w:eastAsia="宋体" w:cs="宋体"/>
                <w:color w:val="000000"/>
                <w:sz w:val="24"/>
                <w:szCs w:val="24"/>
                <w:lang w:val="zh-CN"/>
              </w:rPr>
            </w:pPr>
          </w:p>
        </w:tc>
        <w:tc>
          <w:tcPr>
            <w:tcW w:w="1756" w:type="dxa"/>
            <w:shd w:val="clear" w:color="auto" w:fill="auto"/>
            <w:noWrap w:val="0"/>
            <w:vAlign w:val="center"/>
          </w:tcPr>
          <w:p>
            <w:pPr>
              <w:spacing w:line="360" w:lineRule="auto"/>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进度计划及安排（6 分）</w:t>
            </w:r>
          </w:p>
          <w:p>
            <w:pPr>
              <w:spacing w:line="360" w:lineRule="auto"/>
              <w:rPr>
                <w:rFonts w:hint="default" w:ascii="宋体" w:hAnsi="宋体" w:eastAsia="宋体" w:cs="宋体"/>
                <w:color w:val="000000"/>
                <w:sz w:val="24"/>
                <w:szCs w:val="24"/>
                <w:lang w:val="en-US" w:eastAsia="zh-CN"/>
              </w:rPr>
            </w:pPr>
          </w:p>
        </w:tc>
        <w:tc>
          <w:tcPr>
            <w:tcW w:w="6650" w:type="dxa"/>
            <w:shd w:val="clear" w:color="auto" w:fill="auto"/>
            <w:noWrap w:val="0"/>
            <w:vAlign w:val="center"/>
          </w:tcPr>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default"/>
                <w:sz w:val="24"/>
                <w:szCs w:val="24"/>
                <w:lang w:val="en-US"/>
              </w:rPr>
            </w:pPr>
            <w:r>
              <w:rPr>
                <w:rFonts w:hint="default"/>
                <w:sz w:val="24"/>
                <w:szCs w:val="24"/>
                <w:lang w:val="en-US"/>
              </w:rPr>
              <w:t>针对项目采购内容及实际情况制定进度计划及安排， 内容包括但不限于进度计划安排、进度保障措施等。</w:t>
            </w:r>
          </w:p>
          <w:p>
            <w:pPr>
              <w:keepNext w:val="0"/>
              <w:keepLines w:val="0"/>
              <w:pageBreakBefore w:val="0"/>
              <w:numPr>
                <w:ilvl w:val="0"/>
                <w:numId w:val="0"/>
              </w:numPr>
              <w:kinsoku/>
              <w:wordWrap/>
              <w:overflowPunct/>
              <w:topLinePunct w:val="0"/>
              <w:bidi w:val="0"/>
              <w:spacing w:line="360" w:lineRule="auto"/>
              <w:textAlignment w:val="auto"/>
              <w:rPr>
                <w:rFonts w:hint="default"/>
                <w:sz w:val="24"/>
                <w:szCs w:val="24"/>
                <w:lang w:val="en-US"/>
              </w:rPr>
            </w:pPr>
            <w:r>
              <w:rPr>
                <w:rFonts w:hint="default"/>
                <w:sz w:val="24"/>
                <w:szCs w:val="24"/>
                <w:lang w:val="en-US"/>
              </w:rPr>
              <w:t>内容完整、进度安排科学合理、措施得当、完全满足项目实施要求的得6分； 内容满足磋商文件要求、进度安排合理、保证项目正常实施的得4分； 内容简单、大体能保证项目实施的得2分；内容、措施单一、不能完全满足项目实施的得1分。未提供的不得分。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8" w:hRule="atLeast"/>
        </w:trPr>
        <w:tc>
          <w:tcPr>
            <w:tcW w:w="1200" w:type="dxa"/>
            <w:vMerge w:val="continue"/>
            <w:shd w:val="clear" w:color="auto" w:fill="auto"/>
            <w:noWrap w:val="0"/>
            <w:vAlign w:val="center"/>
          </w:tcPr>
          <w:p>
            <w:pPr>
              <w:spacing w:line="360" w:lineRule="auto"/>
              <w:ind w:firstLine="480"/>
              <w:rPr>
                <w:rFonts w:hint="eastAsia" w:ascii="宋体" w:hAnsi="宋体" w:eastAsia="宋体" w:cs="宋体"/>
                <w:color w:val="000000"/>
                <w:sz w:val="24"/>
                <w:szCs w:val="24"/>
                <w:lang w:val="zh-CN"/>
              </w:rPr>
            </w:pPr>
          </w:p>
        </w:tc>
        <w:tc>
          <w:tcPr>
            <w:tcW w:w="1756" w:type="dxa"/>
            <w:shd w:val="clear" w:color="auto" w:fill="auto"/>
            <w:noWrap w:val="0"/>
            <w:vAlign w:val="center"/>
          </w:tcPr>
          <w:p>
            <w:pPr>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应急处置预案（6分）</w:t>
            </w:r>
          </w:p>
          <w:p>
            <w:pPr>
              <w:spacing w:line="360" w:lineRule="auto"/>
              <w:rPr>
                <w:rFonts w:hint="default" w:ascii="宋体" w:hAnsi="宋体" w:eastAsia="宋体" w:cs="宋体"/>
                <w:color w:val="000000"/>
                <w:sz w:val="24"/>
                <w:szCs w:val="24"/>
                <w:lang w:val="en-US"/>
              </w:rPr>
            </w:pPr>
          </w:p>
        </w:tc>
        <w:tc>
          <w:tcPr>
            <w:tcW w:w="6650" w:type="dxa"/>
            <w:shd w:val="clear" w:color="auto" w:fill="auto"/>
            <w:noWrap w:val="0"/>
            <w:vAlign w:val="center"/>
          </w:tcPr>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default" w:ascii="宋体" w:hAnsi="宋体" w:eastAsia="宋体" w:cs="宋体"/>
                <w:color w:val="000000"/>
                <w:sz w:val="24"/>
                <w:szCs w:val="24"/>
                <w:lang w:val="en-US"/>
              </w:rPr>
            </w:pPr>
            <w:r>
              <w:rPr>
                <w:rFonts w:hint="default" w:ascii="宋体" w:hAnsi="宋体" w:eastAsia="宋体" w:cs="宋体"/>
                <w:color w:val="000000"/>
                <w:sz w:val="24"/>
                <w:szCs w:val="24"/>
                <w:lang w:val="en-US"/>
              </w:rPr>
              <w:t>根据项目管理中突发情况有详细的应急方案，突发事件处置预案种类齐全、措施考虑周全，有切实可行的预测与防范措施、事故应急预案针对性强，各类应急处置方案等，制定方案科学合理，具有操作性，应急预案覆盖全面、内容完整、应急处理得当的得6分；各类应急处置方案、制定合理，具有操作性， 内容基本完整的，得4分；各类应急处置方案、制定合理，方案基本满足需求得2分。 内容、计划措施单一，不能完全满足项目实施的得 1 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7" w:hRule="atLeast"/>
        </w:trPr>
        <w:tc>
          <w:tcPr>
            <w:tcW w:w="2956" w:type="dxa"/>
            <w:gridSpan w:val="2"/>
            <w:shd w:val="clear" w:color="auto" w:fill="auto"/>
            <w:noWrap w:val="0"/>
            <w:vAlign w:val="center"/>
          </w:tcPr>
          <w:p>
            <w:pPr>
              <w:spacing w:line="360" w:lineRule="auto"/>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履约能力</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6650" w:type="dxa"/>
            <w:shd w:val="clear" w:color="auto" w:fill="auto"/>
            <w:noWrap w:val="0"/>
            <w:vAlign w:val="center"/>
          </w:tcPr>
          <w:p>
            <w:pPr>
              <w:spacing w:line="360" w:lineRule="auto"/>
              <w:ind w:firstLine="480" w:firstLineChars="0"/>
              <w:rPr>
                <w:rFonts w:hint="default" w:ascii="宋体" w:hAnsi="宋体" w:eastAsia="宋体" w:cs="宋体"/>
                <w:color w:val="000000"/>
                <w:sz w:val="24"/>
                <w:szCs w:val="24"/>
                <w:lang w:val="en-US"/>
              </w:rPr>
            </w:pPr>
            <w:r>
              <w:rPr>
                <w:rFonts w:hint="eastAsia" w:ascii="宋体" w:hAnsi="宋体" w:eastAsia="宋体" w:cs="宋体"/>
                <w:color w:val="000000"/>
                <w:sz w:val="24"/>
                <w:szCs w:val="24"/>
                <w:lang w:val="zh-CN"/>
              </w:rPr>
              <w:t>提供20</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lang w:val="zh-CN"/>
              </w:rPr>
              <w:t>年1月1日至今</w:t>
            </w:r>
            <w:r>
              <w:rPr>
                <w:rFonts w:hint="eastAsia" w:ascii="宋体" w:hAnsi="宋体" w:eastAsia="宋体" w:cs="宋体"/>
                <w:color w:val="000000"/>
                <w:sz w:val="24"/>
                <w:szCs w:val="24"/>
                <w:lang w:val="zh-CN" w:eastAsia="zh-CN"/>
              </w:rPr>
              <w:t>已完成的类似项目</w:t>
            </w:r>
            <w:r>
              <w:rPr>
                <w:rFonts w:hint="eastAsia" w:ascii="宋体" w:hAnsi="宋体" w:eastAsia="宋体" w:cs="宋体"/>
                <w:color w:val="000000"/>
                <w:sz w:val="24"/>
                <w:szCs w:val="24"/>
                <w:lang w:val="zh-CN"/>
              </w:rPr>
              <w:t>业绩证明材料。每提供一项有效证明材料得</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val="zh-CN"/>
              </w:rPr>
              <w:t>分，最高分为</w:t>
            </w:r>
            <w:r>
              <w:rPr>
                <w:rFonts w:hint="eastAsia" w:ascii="宋体" w:hAnsi="宋体" w:eastAsia="宋体" w:cs="宋体"/>
                <w:color w:val="000000"/>
                <w:sz w:val="24"/>
                <w:szCs w:val="24"/>
                <w:lang w:val="zh-CN" w:eastAsia="zh-CN"/>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lang w:val="zh-CN"/>
              </w:rPr>
              <w:t>分；</w:t>
            </w:r>
            <w:r>
              <w:rPr>
                <w:rFonts w:hint="eastAsia" w:ascii="宋体" w:hAnsi="宋体" w:eastAsia="宋体" w:cs="宋体"/>
                <w:color w:val="000000"/>
                <w:sz w:val="24"/>
                <w:szCs w:val="24"/>
                <w:lang w:val="zh-CN" w:eastAsia="zh-CN"/>
              </w:rPr>
              <w:t>未</w:t>
            </w:r>
            <w:r>
              <w:rPr>
                <w:rFonts w:hint="eastAsia" w:ascii="宋体" w:hAnsi="宋体" w:eastAsia="宋体" w:cs="宋体"/>
                <w:color w:val="000000"/>
                <w:sz w:val="24"/>
                <w:szCs w:val="24"/>
                <w:lang w:val="zh-CN"/>
              </w:rPr>
              <w:t>提供不得分。（</w:t>
            </w:r>
            <w:r>
              <w:rPr>
                <w:rFonts w:hint="eastAsia" w:ascii="宋体" w:hAnsi="宋体" w:eastAsia="宋体" w:cs="宋体"/>
                <w:color w:val="000000"/>
                <w:sz w:val="24"/>
                <w:szCs w:val="24"/>
                <w:lang w:val="zh-CN" w:eastAsia="zh-CN"/>
              </w:rPr>
              <w:t>须</w:t>
            </w:r>
            <w:r>
              <w:rPr>
                <w:rFonts w:hint="eastAsia" w:ascii="宋体" w:hAnsi="宋体" w:eastAsia="宋体" w:cs="宋体"/>
                <w:color w:val="000000"/>
                <w:sz w:val="24"/>
                <w:szCs w:val="24"/>
                <w:lang w:val="zh-CN"/>
              </w:rPr>
              <w:t>提供</w:t>
            </w:r>
            <w:r>
              <w:rPr>
                <w:rFonts w:hint="eastAsia" w:ascii="宋体" w:hAnsi="宋体" w:eastAsia="宋体" w:cs="宋体"/>
                <w:color w:val="000000"/>
                <w:sz w:val="24"/>
                <w:szCs w:val="24"/>
                <w:lang w:val="zh-CN" w:eastAsia="zh-CN"/>
              </w:rPr>
              <w:t>中标通知书或合同协议书的扫描件或复印件，合同协议书须</w:t>
            </w:r>
            <w:r>
              <w:rPr>
                <w:rFonts w:hint="eastAsia" w:ascii="宋体" w:hAnsi="宋体" w:eastAsia="宋体" w:cs="宋体"/>
                <w:color w:val="000000"/>
                <w:sz w:val="24"/>
                <w:szCs w:val="24"/>
                <w:lang w:val="zh-CN"/>
              </w:rPr>
              <w:t>包含合同首页、合同内容及金额所在页、签字盖章页）。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34" w:hRule="atLeast"/>
        </w:trPr>
        <w:tc>
          <w:tcPr>
            <w:tcW w:w="2956" w:type="dxa"/>
            <w:gridSpan w:val="2"/>
            <w:shd w:val="clear" w:color="auto" w:fill="auto"/>
            <w:noWrap w:val="0"/>
            <w:vAlign w:val="center"/>
          </w:tcPr>
          <w:p>
            <w:pPr>
              <w:spacing w:line="360" w:lineRule="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售后服务计划、措施及服务承诺（</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zh-CN"/>
              </w:rPr>
              <w:t>分）</w:t>
            </w:r>
          </w:p>
          <w:p>
            <w:pPr>
              <w:spacing w:line="360" w:lineRule="auto"/>
              <w:rPr>
                <w:rFonts w:hint="eastAsia" w:ascii="宋体" w:hAnsi="宋体" w:eastAsia="宋体" w:cs="宋体"/>
                <w:color w:val="000000"/>
                <w:sz w:val="24"/>
                <w:szCs w:val="24"/>
              </w:rPr>
            </w:pPr>
          </w:p>
        </w:tc>
        <w:tc>
          <w:tcPr>
            <w:tcW w:w="6650" w:type="dxa"/>
            <w:shd w:val="clear" w:color="auto" w:fill="auto"/>
            <w:noWrap w:val="0"/>
            <w:vAlign w:val="center"/>
          </w:tcPr>
          <w:p>
            <w:pPr>
              <w:spacing w:line="360" w:lineRule="auto"/>
              <w:ind w:firstLine="480" w:firstLineChars="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针对该项目有详尽的售后服务计划组织配送、验收、售后等方面的服务能力、 措施及相关承诺，服务计划详尽、合理、承诺切实的，得</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zh-CN"/>
              </w:rPr>
              <w:t>分；服务能力、 措施及相关承诺，服务计划大致符合本项目的，得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zh-CN"/>
              </w:rPr>
              <w:t>分；服务能力、措施及相关承诺，服务计划粗略、没有详细体现的得</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zh-CN"/>
              </w:rPr>
              <w:t>分；未提供或其他情况的不得分。</w:t>
            </w:r>
          </w:p>
        </w:tc>
      </w:tr>
    </w:tbl>
    <w:p>
      <w:pPr>
        <w:pStyle w:val="17"/>
        <w:spacing w:line="360" w:lineRule="auto"/>
        <w:rPr>
          <w:rFonts w:hAnsi="宋体"/>
          <w:b/>
          <w:sz w:val="24"/>
          <w:szCs w:val="24"/>
        </w:rPr>
      </w:pPr>
    </w:p>
    <w:bookmarkEnd w:id="64"/>
    <w:p>
      <w:pPr>
        <w:tabs>
          <w:tab w:val="left" w:pos="425"/>
          <w:tab w:val="left" w:pos="720"/>
          <w:tab w:val="left" w:pos="1985"/>
          <w:tab w:val="left" w:pos="7088"/>
        </w:tabs>
        <w:outlineLvl w:val="9"/>
        <w:rPr>
          <w:rFonts w:hint="eastAsia" w:hAnsi="宋体"/>
          <w:b/>
          <w:sz w:val="24"/>
          <w:szCs w:val="24"/>
        </w:rPr>
      </w:pPr>
    </w:p>
    <w:p>
      <w:pPr>
        <w:tabs>
          <w:tab w:val="left" w:pos="425"/>
          <w:tab w:val="left" w:pos="720"/>
          <w:tab w:val="left" w:pos="1985"/>
          <w:tab w:val="left" w:pos="7088"/>
        </w:tabs>
        <w:spacing w:line="480" w:lineRule="auto"/>
        <w:ind w:left="709"/>
        <w:jc w:val="center"/>
        <w:outlineLvl w:val="1"/>
        <w:rPr>
          <w:rFonts w:hAnsi="宋体"/>
          <w:b/>
          <w:sz w:val="24"/>
          <w:szCs w:val="24"/>
        </w:rPr>
      </w:pPr>
      <w:bookmarkStart w:id="65" w:name="_Toc7575"/>
      <w:r>
        <w:rPr>
          <w:rFonts w:hint="eastAsia" w:hAnsi="宋体"/>
          <w:b/>
          <w:sz w:val="24"/>
          <w:szCs w:val="24"/>
          <w:lang w:val="en-US" w:eastAsia="zh-CN"/>
        </w:rPr>
        <w:t>八、</w:t>
      </w:r>
      <w:r>
        <w:rPr>
          <w:rFonts w:hint="eastAsia" w:hAnsi="宋体"/>
          <w:b/>
          <w:sz w:val="24"/>
          <w:szCs w:val="24"/>
        </w:rPr>
        <w:t>定标</w:t>
      </w:r>
      <w:bookmarkEnd w:id="65"/>
    </w:p>
    <w:p>
      <w:pPr>
        <w:numPr>
          <w:ilvl w:val="0"/>
          <w:numId w:val="4"/>
        </w:numPr>
        <w:spacing w:before="0" w:after="0" w:line="480" w:lineRule="auto"/>
        <w:outlineLvl w:val="9"/>
        <w:rPr>
          <w:rFonts w:ascii="宋体" w:hAnsi="宋体"/>
          <w:b w:val="0"/>
          <w:sz w:val="24"/>
          <w:szCs w:val="24"/>
        </w:rPr>
      </w:pPr>
      <w:bookmarkStart w:id="66" w:name="_Toc15871"/>
      <w:bookmarkStart w:id="67" w:name="_Toc488673637"/>
      <w:r>
        <w:rPr>
          <w:rFonts w:hint="eastAsia" w:ascii="宋体" w:hAnsi="宋体"/>
          <w:b w:val="0"/>
          <w:sz w:val="24"/>
          <w:szCs w:val="24"/>
        </w:rPr>
        <w:t>推荐并确定成交磋商供应商</w:t>
      </w:r>
      <w:bookmarkEnd w:id="66"/>
      <w:bookmarkEnd w:id="67"/>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24</w:t>
      </w:r>
      <w:r>
        <w:rPr>
          <w:rFonts w:hint="eastAsia" w:ascii="宋体" w:hAnsi="宋体" w:eastAsia="宋体" w:cs="Times New Roman"/>
          <w:kern w:val="0"/>
          <w:sz w:val="24"/>
          <w:szCs w:val="24"/>
          <w:lang w:val="en-US" w:eastAsia="zh-CN" w:bidi="ar-SA"/>
        </w:rPr>
        <w:t>.1.</w:t>
      </w:r>
      <w:r>
        <w:rPr>
          <w:rFonts w:hint="eastAsia" w:hAnsi="宋体" w:cs="宋体"/>
          <w:b/>
          <w:bCs/>
          <w:sz w:val="24"/>
          <w:szCs w:val="24"/>
        </w:rPr>
        <w:t>采用综合评分法的，</w:t>
      </w:r>
      <w:r>
        <w:rPr>
          <w:rFonts w:hint="eastAsia" w:hAnsi="宋体" w:cs="宋体"/>
          <w:sz w:val="24"/>
          <w:szCs w:val="24"/>
          <w:shd w:val="clear" w:color="auto" w:fill="FFFFFF"/>
        </w:rPr>
        <w:t>评标结果按评审后得分由高到低顺序排列。得分相同的，按投标报价由低到高顺序排列。得分且投标报价相同的并列。响应文件满足磋商文件全部实质性要求，且按照评审因素的量化指标评审得分最高的</w:t>
      </w:r>
      <w:r>
        <w:rPr>
          <w:rFonts w:hint="eastAsia" w:hAnsi="宋体" w:cs="宋体"/>
          <w:sz w:val="24"/>
          <w:szCs w:val="24"/>
          <w:shd w:val="clear" w:color="auto" w:fill="FFFFFF"/>
          <w:lang w:eastAsia="zh-CN"/>
        </w:rPr>
        <w:t>供应商</w:t>
      </w:r>
      <w:r>
        <w:rPr>
          <w:rFonts w:hint="eastAsia" w:hAnsi="宋体" w:cs="宋体"/>
          <w:sz w:val="24"/>
          <w:szCs w:val="24"/>
          <w:shd w:val="clear" w:color="auto" w:fill="FFFFFF"/>
        </w:rPr>
        <w:t>为排名第一的成交候选人。</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24</w:t>
      </w:r>
      <w:r>
        <w:rPr>
          <w:rFonts w:hint="eastAsia" w:ascii="宋体" w:hAnsi="宋体" w:eastAsia="宋体" w:cs="Times New Roman"/>
          <w:kern w:val="0"/>
          <w:sz w:val="24"/>
          <w:szCs w:val="24"/>
          <w:lang w:val="en-US" w:eastAsia="zh-CN" w:bidi="ar-SA"/>
        </w:rPr>
        <w:t>.2.</w:t>
      </w:r>
      <w:r>
        <w:rPr>
          <w:rFonts w:hint="eastAsia" w:hAnsi="宋体"/>
          <w:sz w:val="24"/>
          <w:szCs w:val="24"/>
        </w:rPr>
        <w:t>成交供应商因不可抗力或自身原因不能履行合同时，采购单位可以按照评审报告推荐的预成交候选供应商名单排序，确定下一候选供应商为成交供应商，也可重新开展政府采购活动。</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24</w:t>
      </w:r>
      <w:r>
        <w:rPr>
          <w:rFonts w:hint="eastAsia" w:ascii="宋体" w:hAnsi="宋体" w:eastAsia="宋体" w:cs="Times New Roman"/>
          <w:kern w:val="0"/>
          <w:sz w:val="24"/>
          <w:szCs w:val="24"/>
          <w:lang w:val="en-US" w:eastAsia="zh-CN" w:bidi="ar-SA"/>
        </w:rPr>
        <w:t>.3.</w:t>
      </w:r>
      <w:r>
        <w:rPr>
          <w:rFonts w:hint="eastAsia" w:hAnsi="宋体" w:cs="宋体"/>
          <w:sz w:val="24"/>
          <w:szCs w:val="24"/>
          <w:shd w:val="clear" w:color="auto" w:fill="FFFFFF"/>
        </w:rPr>
        <w:t>评标结果汇总完成后，除下列情形外，任何人不得修改评标结果：</w:t>
      </w:r>
    </w:p>
    <w:p>
      <w:pPr>
        <w:pStyle w:val="17"/>
        <w:numPr>
          <w:ilvl w:val="0"/>
          <w:numId w:val="23"/>
        </w:numPr>
        <w:spacing w:line="360" w:lineRule="auto"/>
        <w:rPr>
          <w:rFonts w:hAnsi="宋体"/>
          <w:sz w:val="24"/>
          <w:szCs w:val="24"/>
        </w:rPr>
      </w:pPr>
      <w:r>
        <w:rPr>
          <w:rFonts w:hint="eastAsia" w:hAnsi="宋体" w:cs="宋体"/>
          <w:sz w:val="24"/>
          <w:szCs w:val="24"/>
          <w:shd w:val="clear" w:color="auto" w:fill="FFFFFF"/>
        </w:rPr>
        <w:t>分值汇总计算错误的；</w:t>
      </w:r>
    </w:p>
    <w:p>
      <w:pPr>
        <w:pStyle w:val="17"/>
        <w:numPr>
          <w:ilvl w:val="0"/>
          <w:numId w:val="23"/>
        </w:numPr>
        <w:spacing w:line="360" w:lineRule="auto"/>
        <w:rPr>
          <w:rFonts w:hAnsi="宋体"/>
          <w:sz w:val="24"/>
          <w:szCs w:val="24"/>
        </w:rPr>
      </w:pPr>
      <w:r>
        <w:rPr>
          <w:rFonts w:hint="eastAsia" w:hAnsi="宋体" w:cs="宋体"/>
          <w:sz w:val="24"/>
          <w:szCs w:val="24"/>
          <w:shd w:val="clear" w:color="auto" w:fill="FFFFFF"/>
        </w:rPr>
        <w:t>分项评分超出评分标准范围的；</w:t>
      </w:r>
    </w:p>
    <w:p>
      <w:pPr>
        <w:pStyle w:val="17"/>
        <w:numPr>
          <w:ilvl w:val="0"/>
          <w:numId w:val="23"/>
        </w:numPr>
        <w:spacing w:line="360" w:lineRule="auto"/>
        <w:rPr>
          <w:rFonts w:hAnsi="宋体"/>
          <w:sz w:val="24"/>
          <w:szCs w:val="24"/>
        </w:rPr>
      </w:pPr>
      <w:r>
        <w:rPr>
          <w:rFonts w:hint="eastAsia" w:hAnsi="宋体" w:cs="宋体"/>
          <w:sz w:val="24"/>
          <w:szCs w:val="24"/>
          <w:shd w:val="clear" w:color="auto" w:fill="FFFFFF"/>
        </w:rPr>
        <w:t>评标委员会成员对客观评审因素评分不一致的；</w:t>
      </w:r>
    </w:p>
    <w:p>
      <w:pPr>
        <w:pStyle w:val="17"/>
        <w:numPr>
          <w:ilvl w:val="0"/>
          <w:numId w:val="23"/>
        </w:numPr>
        <w:spacing w:line="360" w:lineRule="auto"/>
        <w:rPr>
          <w:rFonts w:hAnsi="宋体"/>
          <w:sz w:val="24"/>
          <w:szCs w:val="24"/>
        </w:rPr>
      </w:pPr>
      <w:r>
        <w:rPr>
          <w:rFonts w:hint="eastAsia" w:hAnsi="宋体" w:cs="宋体"/>
          <w:sz w:val="24"/>
          <w:szCs w:val="24"/>
          <w:shd w:val="clear" w:color="auto" w:fill="FFFFFF"/>
        </w:rPr>
        <w:t>经评标委员会认定评分畸高、畸低的。</w:t>
      </w:r>
    </w:p>
    <w:p>
      <w:pPr>
        <w:autoSpaceDE w:val="0"/>
        <w:autoSpaceDN w:val="0"/>
        <w:spacing w:line="360" w:lineRule="auto"/>
        <w:ind w:left="1042" w:leftChars="496" w:firstLine="480" w:firstLineChars="200"/>
        <w:rPr>
          <w:rFonts w:ascii="宋体" w:hAnsi="宋体" w:cs="宋体"/>
          <w:sz w:val="24"/>
          <w:shd w:val="clear" w:color="auto" w:fill="FFFFFF"/>
        </w:rPr>
      </w:pPr>
      <w:r>
        <w:rPr>
          <w:rFonts w:hint="eastAsia" w:ascii="宋体" w:hAnsi="宋体" w:cs="宋体"/>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7"/>
        <w:spacing w:line="360" w:lineRule="auto"/>
        <w:ind w:left="1042" w:leftChars="496" w:firstLine="480" w:firstLineChars="200"/>
        <w:rPr>
          <w:rFonts w:hAnsi="宋体"/>
          <w:sz w:val="24"/>
          <w:szCs w:val="24"/>
        </w:rPr>
      </w:pPr>
      <w:r>
        <w:rPr>
          <w:rFonts w:hint="eastAsia" w:hAnsi="宋体" w:cs="宋体"/>
          <w:sz w:val="24"/>
          <w:szCs w:val="24"/>
          <w:shd w:val="clear" w:color="auto" w:fill="FFFFFF"/>
          <w:lang w:eastAsia="zh-CN"/>
        </w:rPr>
        <w:t>供应商</w:t>
      </w:r>
      <w:r>
        <w:rPr>
          <w:rFonts w:hint="eastAsia" w:hAnsi="宋体" w:cs="宋体"/>
          <w:sz w:val="24"/>
          <w:szCs w:val="24"/>
          <w:shd w:val="clear" w:color="auto" w:fill="FFFFFF"/>
        </w:rPr>
        <w:t>对以上情形提出质疑的，采购人或者采购代理机构可以组织原评标委员会进行重新评审，重新评审改变评标结果的，应当书面报告本级财政部门。</w:t>
      </w:r>
    </w:p>
    <w:p>
      <w:pPr>
        <w:numPr>
          <w:ilvl w:val="0"/>
          <w:numId w:val="4"/>
        </w:numPr>
        <w:spacing w:before="0" w:after="0" w:line="360" w:lineRule="auto"/>
        <w:outlineLvl w:val="9"/>
        <w:rPr>
          <w:rFonts w:ascii="宋体" w:hAnsi="宋体"/>
          <w:b w:val="0"/>
          <w:sz w:val="24"/>
          <w:szCs w:val="24"/>
        </w:rPr>
      </w:pPr>
      <w:bookmarkStart w:id="68" w:name="_Toc488673638"/>
      <w:bookmarkStart w:id="69" w:name="_Toc12932"/>
      <w:r>
        <w:rPr>
          <w:rFonts w:hint="eastAsia" w:ascii="宋体" w:hAnsi="宋体"/>
          <w:b w:val="0"/>
          <w:sz w:val="24"/>
          <w:szCs w:val="24"/>
        </w:rPr>
        <w:t>成交通知</w:t>
      </w:r>
      <w:bookmarkEnd w:id="68"/>
      <w:bookmarkEnd w:id="69"/>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.1.</w:t>
      </w:r>
      <w:r>
        <w:rPr>
          <w:rFonts w:hint="eastAsia" w:hAnsi="宋体" w:cs="宋体"/>
          <w:sz w:val="24"/>
          <w:szCs w:val="24"/>
        </w:rPr>
        <w:t>采购代理机构应当在评标结束后2个工作日内将评标报告送采购人。采购人应当自收到评标报告之日起５个工作日内，在评标报告确定的成交候选人名单中按顺序确定成交人。成交候选人并列的，由采购人或者采购人委托评标委员会按照磋商文件规定的方式确定成交人；磋商文件未规定的，采取随机抽取的方式确定。</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.2.</w:t>
      </w:r>
      <w:r>
        <w:rPr>
          <w:rFonts w:hint="eastAsia" w:hAnsi="宋体" w:cs="宋体"/>
          <w:sz w:val="24"/>
          <w:szCs w:val="24"/>
        </w:rPr>
        <w:t>采购人在收到评标报告5个工作日内未按评标报告推荐的成交候选人顺序确定成交人，又不能说明合法理由的，视同按评标报告推荐的顺序确定排名第一的成交候选人为成交人。</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.3.</w:t>
      </w:r>
      <w:r>
        <w:rPr>
          <w:rFonts w:hint="eastAsia" w:hAnsi="宋体"/>
          <w:sz w:val="24"/>
          <w:szCs w:val="24"/>
        </w:rPr>
        <w:t>采购代理机构自成交供应商确定之日起2个工作日内发出《成交通知书》，并在青海政府采购网、</w:t>
      </w:r>
      <w:r>
        <w:rPr>
          <w:rFonts w:hint="eastAsia" w:hAnsi="宋体"/>
          <w:sz w:val="24"/>
          <w:szCs w:val="24"/>
          <w:lang w:val="en-US" w:eastAsia="zh-CN"/>
        </w:rPr>
        <w:t>青海省公共资源交易服务平台</w:t>
      </w:r>
      <w:r>
        <w:rPr>
          <w:rFonts w:hint="eastAsia" w:hAnsi="宋体"/>
          <w:sz w:val="24"/>
          <w:szCs w:val="24"/>
        </w:rPr>
        <w:t>等媒体上公告成交结果。</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.4.</w:t>
      </w:r>
      <w:r>
        <w:rPr>
          <w:rFonts w:hint="eastAsia" w:hAnsi="宋体" w:cs="宋体"/>
          <w:sz w:val="24"/>
          <w:szCs w:val="24"/>
        </w:rPr>
        <w:t>成交结果公告内容应当包括采购人及其委托的采购代理机构的名称、地址、联系方式，项目名称和项目编号，成交人名称、地址和成交金额，主要成交标的的名称、规格型号、数量、单价、服务要求，成交公告期限以及评审专家名单。</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.5.</w:t>
      </w:r>
      <w:r>
        <w:rPr>
          <w:rFonts w:hint="eastAsia" w:hAnsi="宋体" w:cs="宋体"/>
          <w:sz w:val="24"/>
          <w:szCs w:val="24"/>
        </w:rPr>
        <w:t>成交公告期限为</w:t>
      </w:r>
      <w:r>
        <w:rPr>
          <w:rFonts w:hint="eastAsia" w:hAnsi="宋体" w:cs="宋体"/>
          <w:sz w:val="24"/>
          <w:szCs w:val="24"/>
          <w:lang w:val="en-US" w:eastAsia="zh-CN"/>
        </w:rPr>
        <w:t>3</w:t>
      </w:r>
      <w:r>
        <w:rPr>
          <w:rFonts w:hint="eastAsia" w:hAnsi="宋体" w:cs="宋体"/>
          <w:sz w:val="24"/>
          <w:szCs w:val="24"/>
        </w:rPr>
        <w:t>个工作日。</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.6.</w:t>
      </w:r>
      <w:r>
        <w:rPr>
          <w:rFonts w:hint="eastAsia" w:hAnsi="宋体" w:cs="宋体"/>
          <w:sz w:val="24"/>
          <w:szCs w:val="24"/>
        </w:rPr>
        <w:t>在公告成交结果的同时，</w:t>
      </w:r>
      <w:r>
        <w:rPr>
          <w:rFonts w:hint="eastAsia" w:hAnsi="宋体" w:cs="宋体"/>
          <w:sz w:val="24"/>
          <w:szCs w:val="24"/>
          <w:shd w:val="clear" w:color="auto" w:fill="FFFFFF"/>
        </w:rPr>
        <w:t>采购人或者采购代理机构</w:t>
      </w:r>
      <w:r>
        <w:rPr>
          <w:rFonts w:hint="eastAsia" w:hAnsi="宋体" w:cs="宋体"/>
          <w:sz w:val="24"/>
          <w:szCs w:val="24"/>
        </w:rPr>
        <w:t>应当向成交人发出成交通知书；采用综合评分法评审的，还应当告知未成交人本人的评审得分与排序。</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.7.</w:t>
      </w:r>
      <w:r>
        <w:rPr>
          <w:rFonts w:hint="eastAsia" w:hAnsi="宋体" w:cs="宋体"/>
          <w:sz w:val="24"/>
          <w:szCs w:val="24"/>
        </w:rPr>
        <w:t>成交通知书发出后，采购人不得违法改变成交结果，成交人无正当理由不得放弃成交。</w:t>
      </w:r>
    </w:p>
    <w:p>
      <w:pPr>
        <w:pStyle w:val="17"/>
        <w:numPr>
          <w:ilvl w:val="1"/>
          <w:numId w:val="0"/>
        </w:numPr>
        <w:spacing w:line="360" w:lineRule="auto"/>
        <w:ind w:left="861" w:leftChars="0" w:hanging="720" w:firstLineChars="0"/>
        <w:rPr>
          <w:rFonts w:hAnsi="宋体"/>
          <w:b/>
          <w:bCs/>
          <w:sz w:val="24"/>
          <w:szCs w:val="24"/>
        </w:rPr>
      </w:pPr>
      <w:r>
        <w:rPr>
          <w:rFonts w:hint="eastAsia" w:hAnsi="宋体" w:cs="Times New Roman"/>
          <w:b w:val="0"/>
          <w:bCs/>
          <w:kern w:val="0"/>
          <w:sz w:val="24"/>
          <w:szCs w:val="24"/>
          <w:lang w:val="en-US" w:eastAsia="zh-CN" w:bidi="ar-SA"/>
        </w:rPr>
        <w:t>25</w:t>
      </w:r>
      <w:r>
        <w:rPr>
          <w:rFonts w:hint="eastAsia" w:ascii="宋体" w:hAnsi="宋体" w:eastAsia="宋体" w:cs="Times New Roman"/>
          <w:b w:val="0"/>
          <w:bCs/>
          <w:kern w:val="0"/>
          <w:sz w:val="24"/>
          <w:szCs w:val="24"/>
          <w:lang w:val="en-US" w:eastAsia="zh-CN" w:bidi="ar-SA"/>
        </w:rPr>
        <w:t>.8.</w:t>
      </w:r>
      <w:r>
        <w:rPr>
          <w:rFonts w:hint="eastAsia" w:hAnsi="宋体"/>
          <w:sz w:val="24"/>
          <w:szCs w:val="24"/>
        </w:rPr>
        <w:t>《成交通知书》对采购单位和成交供应商具有同等效力，《成交通知书》发出后，采购单位改变成交结果的，或者成交供应商无正当理由放弃成交项目的，依法承担法律责任。</w:t>
      </w:r>
    </w:p>
    <w:p>
      <w:pPr>
        <w:tabs>
          <w:tab w:val="left" w:pos="425"/>
          <w:tab w:val="left" w:pos="720"/>
          <w:tab w:val="left" w:pos="1985"/>
          <w:tab w:val="left" w:pos="7088"/>
        </w:tabs>
        <w:spacing w:line="360" w:lineRule="auto"/>
        <w:ind w:left="709"/>
        <w:jc w:val="center"/>
        <w:outlineLvl w:val="1"/>
        <w:rPr>
          <w:rFonts w:hAnsi="宋体"/>
          <w:b/>
          <w:sz w:val="24"/>
          <w:szCs w:val="24"/>
        </w:rPr>
      </w:pPr>
      <w:bookmarkStart w:id="70" w:name="_Toc12398"/>
      <w:r>
        <w:rPr>
          <w:rFonts w:hint="eastAsia" w:hAnsi="宋体"/>
          <w:b/>
          <w:sz w:val="24"/>
          <w:szCs w:val="24"/>
          <w:lang w:val="en-US" w:eastAsia="zh-CN"/>
        </w:rPr>
        <w:t>九、</w:t>
      </w:r>
      <w:r>
        <w:rPr>
          <w:rFonts w:hint="eastAsia" w:hAnsi="宋体"/>
          <w:b/>
          <w:sz w:val="24"/>
          <w:szCs w:val="24"/>
        </w:rPr>
        <w:t>授予合同</w:t>
      </w:r>
      <w:bookmarkEnd w:id="70"/>
    </w:p>
    <w:p>
      <w:pPr>
        <w:numPr>
          <w:ilvl w:val="0"/>
          <w:numId w:val="4"/>
        </w:numPr>
        <w:spacing w:before="0" w:after="0" w:line="480" w:lineRule="auto"/>
        <w:outlineLvl w:val="9"/>
        <w:rPr>
          <w:rFonts w:ascii="宋体" w:hAnsi="宋体"/>
          <w:b w:val="0"/>
          <w:sz w:val="24"/>
          <w:szCs w:val="24"/>
        </w:rPr>
      </w:pPr>
      <w:bookmarkStart w:id="71" w:name="_Toc488673640"/>
      <w:bookmarkStart w:id="72" w:name="_Toc19468"/>
      <w:r>
        <w:rPr>
          <w:rFonts w:hint="eastAsia" w:ascii="宋体" w:hAnsi="宋体"/>
          <w:b w:val="0"/>
          <w:sz w:val="24"/>
          <w:szCs w:val="24"/>
        </w:rPr>
        <w:t>签订合同</w:t>
      </w:r>
      <w:bookmarkEnd w:id="71"/>
      <w:bookmarkEnd w:id="72"/>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.1.</w:t>
      </w:r>
      <w:r>
        <w:rPr>
          <w:rFonts w:hint="eastAsia" w:hAnsi="宋体"/>
          <w:sz w:val="24"/>
          <w:szCs w:val="24"/>
        </w:rPr>
        <w:t>采购单位与成交供应商双方应当自《成交通知书》发出之日起30日内，签订采购合同，送采购代理机构审核并备案；</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.2.</w:t>
      </w:r>
      <w:r>
        <w:rPr>
          <w:rFonts w:hAnsi="宋体"/>
          <w:sz w:val="24"/>
          <w:szCs w:val="24"/>
        </w:rPr>
        <w:t>签订合同时，成交人以支票、汇票、本票等非现金形式向采购人指定的账户交纳履约保证金。履约保证金的数额为采购合同总金额的5%。</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.3.</w:t>
      </w:r>
      <w:r>
        <w:rPr>
          <w:rFonts w:hint="eastAsia" w:hAnsi="宋体"/>
          <w:sz w:val="24"/>
          <w:szCs w:val="24"/>
        </w:rPr>
        <w:t>成交供应商在法定期限内无正当理由拒签合同的，按违约处理。同时，采购代理机构和采购单位可依评标排序重新确定成交供应商，并协调双方签订采购合同，或重新组织采购活动；</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.4.</w:t>
      </w:r>
      <w:r>
        <w:rPr>
          <w:rFonts w:hint="eastAsia" w:hAnsi="宋体"/>
          <w:sz w:val="24"/>
          <w:szCs w:val="24"/>
        </w:rPr>
        <w:t>采购单位不得向成交供应商提出任何不合理的要求作为订立合同的条件，采购单位和成交供应商不得私下订立背离合同实质性内容的协议；</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.5.</w:t>
      </w:r>
      <w:r>
        <w:rPr>
          <w:rFonts w:hint="eastAsia" w:hAnsi="宋体"/>
          <w:sz w:val="24"/>
          <w:szCs w:val="24"/>
        </w:rPr>
        <w:t>磋商文件、成交供应商的响应文件、《成交通知书》及其澄清、说明文件、承诺等，均为签订采购合同的依据，作为采购合同的组成部分；</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.6.</w:t>
      </w:r>
      <w:r>
        <w:rPr>
          <w:rFonts w:hint="eastAsia" w:hAnsi="宋体"/>
          <w:sz w:val="24"/>
          <w:szCs w:val="24"/>
        </w:rPr>
        <w:t>采购人与成交人应当根据合同的约定依法履行合同义务。政府采购合同的履行、违约责任和解决争议的方法等适用《中华人民共和国民法典》。</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.7.</w:t>
      </w:r>
      <w:r>
        <w:rPr>
          <w:rFonts w:hint="eastAsia" w:hAnsi="宋体"/>
          <w:sz w:val="24"/>
          <w:szCs w:val="24"/>
        </w:rPr>
        <w:t>采购人应当及时对采购项目进行验收。采购人可以邀请参加本项目的其他</w:t>
      </w:r>
      <w:r>
        <w:rPr>
          <w:rFonts w:hint="eastAsia" w:hAnsi="宋体"/>
          <w:sz w:val="24"/>
          <w:szCs w:val="24"/>
          <w:lang w:eastAsia="zh-CN"/>
        </w:rPr>
        <w:t>供应商</w:t>
      </w:r>
      <w:r>
        <w:rPr>
          <w:rFonts w:hint="eastAsia" w:hAnsi="宋体"/>
          <w:sz w:val="24"/>
          <w:szCs w:val="24"/>
        </w:rPr>
        <w:t>或者第三方机构参与验收。参与验收的</w:t>
      </w:r>
      <w:r>
        <w:rPr>
          <w:rFonts w:hint="eastAsia" w:hAnsi="宋体"/>
          <w:sz w:val="24"/>
          <w:szCs w:val="24"/>
          <w:lang w:eastAsia="zh-CN"/>
        </w:rPr>
        <w:t>供应商</w:t>
      </w:r>
      <w:r>
        <w:rPr>
          <w:rFonts w:hint="eastAsia" w:hAnsi="宋体"/>
          <w:sz w:val="24"/>
          <w:szCs w:val="24"/>
        </w:rPr>
        <w:t>或者第三方机构的意见作为验收书的参考资料一并存档。</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.8.</w:t>
      </w:r>
      <w:r>
        <w:rPr>
          <w:rFonts w:hint="eastAsia" w:hAnsi="宋体"/>
          <w:sz w:val="24"/>
          <w:szCs w:val="24"/>
        </w:rPr>
        <w:t>采购人应当加强对成交人的履约管理，并按照采购合同约定，及时向成交人支付采购资金。对于成交人违反采购合同约定的行为，采购人应当及时处理，依法追究其违约责任。</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.9.</w:t>
      </w:r>
      <w:r>
        <w:rPr>
          <w:rFonts w:hint="eastAsia" w:hAnsi="宋体"/>
          <w:sz w:val="24"/>
          <w:szCs w:val="24"/>
        </w:rPr>
        <w:t>采购合同签订之日起2个工作日内，由采购单位将采购合同在</w:t>
      </w:r>
      <w:r>
        <w:rPr>
          <w:rFonts w:hint="eastAsia" w:hAnsi="宋体"/>
          <w:sz w:val="24"/>
          <w:szCs w:val="28"/>
        </w:rPr>
        <w:t>青海政府采购网</w:t>
      </w:r>
      <w:r>
        <w:rPr>
          <w:rFonts w:hint="eastAsia" w:hAnsi="宋体"/>
          <w:sz w:val="24"/>
          <w:szCs w:val="24"/>
        </w:rPr>
        <w:t>媒体上公告，但采购合同中涉及国家秘密、商业秘密的内容除外。</w:t>
      </w:r>
    </w:p>
    <w:p>
      <w:pPr>
        <w:pStyle w:val="17"/>
        <w:numPr>
          <w:ilvl w:val="1"/>
          <w:numId w:val="0"/>
        </w:numPr>
        <w:spacing w:line="360" w:lineRule="auto"/>
        <w:ind w:left="621" w:leftChars="0" w:hanging="480" w:firstLineChars="0"/>
        <w:rPr>
          <w:rFonts w:hAnsi="宋体"/>
          <w:sz w:val="24"/>
          <w:szCs w:val="24"/>
        </w:rPr>
      </w:pPr>
      <w:r>
        <w:rPr>
          <w:rFonts w:hint="eastAsia" w:hAnsi="宋体" w:cs="Times New Roman"/>
          <w:kern w:val="0"/>
          <w:sz w:val="24"/>
          <w:szCs w:val="24"/>
          <w:lang w:val="en-US" w:eastAsia="zh-CN" w:bidi="ar-SA"/>
        </w:rPr>
        <w:t>26</w:t>
      </w:r>
      <w:r>
        <w:rPr>
          <w:rFonts w:hint="eastAsia" w:ascii="宋体" w:hAnsi="宋体" w:eastAsia="宋体" w:cs="Times New Roman"/>
          <w:kern w:val="0"/>
          <w:sz w:val="24"/>
          <w:szCs w:val="24"/>
          <w:lang w:val="en-US" w:eastAsia="zh-CN" w:bidi="ar-SA"/>
        </w:rPr>
        <w:t>.10.</w:t>
      </w:r>
      <w:r>
        <w:rPr>
          <w:rFonts w:hint="eastAsia" w:hAnsi="宋体"/>
          <w:sz w:val="24"/>
          <w:szCs w:val="24"/>
        </w:rPr>
        <w:t>采购人、采购代理机构应当建立真实完整的招标采购档案，妥善保存每项采购活动的磋商文件。</w:t>
      </w:r>
    </w:p>
    <w:p>
      <w:pPr>
        <w:tabs>
          <w:tab w:val="left" w:pos="425"/>
          <w:tab w:val="left" w:pos="720"/>
          <w:tab w:val="left" w:pos="1985"/>
          <w:tab w:val="left" w:pos="7088"/>
        </w:tabs>
        <w:spacing w:line="360" w:lineRule="auto"/>
        <w:ind w:left="709"/>
        <w:jc w:val="center"/>
        <w:outlineLvl w:val="1"/>
        <w:rPr>
          <w:rFonts w:hAnsi="宋体"/>
          <w:b/>
          <w:sz w:val="24"/>
          <w:szCs w:val="24"/>
        </w:rPr>
      </w:pPr>
      <w:bookmarkStart w:id="73" w:name="_Toc14818"/>
      <w:r>
        <w:rPr>
          <w:rFonts w:hint="eastAsia" w:hAnsi="宋体"/>
          <w:b/>
          <w:sz w:val="24"/>
          <w:szCs w:val="24"/>
          <w:lang w:val="en-US" w:eastAsia="zh-CN"/>
        </w:rPr>
        <w:t>十、</w:t>
      </w:r>
      <w:r>
        <w:rPr>
          <w:rFonts w:hint="eastAsia" w:hAnsi="宋体"/>
          <w:b/>
          <w:sz w:val="24"/>
          <w:szCs w:val="24"/>
        </w:rPr>
        <w:t>废标条款</w:t>
      </w:r>
      <w:bookmarkEnd w:id="73"/>
    </w:p>
    <w:p>
      <w:pPr>
        <w:numPr>
          <w:ilvl w:val="0"/>
          <w:numId w:val="4"/>
        </w:numPr>
        <w:spacing w:before="0" w:after="0" w:line="360" w:lineRule="auto"/>
        <w:outlineLvl w:val="9"/>
        <w:rPr>
          <w:rFonts w:ascii="宋体" w:hAnsi="宋体"/>
          <w:b w:val="0"/>
          <w:sz w:val="24"/>
          <w:szCs w:val="24"/>
        </w:rPr>
      </w:pPr>
      <w:bookmarkStart w:id="74" w:name="_Toc7195"/>
      <w:bookmarkStart w:id="75" w:name="_Toc488673642"/>
      <w:r>
        <w:rPr>
          <w:rFonts w:hint="eastAsia" w:ascii="宋体" w:hAnsi="宋体"/>
          <w:b w:val="0"/>
          <w:sz w:val="24"/>
          <w:szCs w:val="24"/>
        </w:rPr>
        <w:t>废标情形</w:t>
      </w:r>
      <w:bookmarkEnd w:id="74"/>
      <w:bookmarkEnd w:id="75"/>
    </w:p>
    <w:p>
      <w:pPr>
        <w:pStyle w:val="17"/>
        <w:numPr>
          <w:ilvl w:val="1"/>
          <w:numId w:val="0"/>
        </w:numPr>
        <w:spacing w:line="360" w:lineRule="auto"/>
        <w:ind w:left="606" w:leftChars="0" w:hanging="465" w:firstLineChars="0"/>
        <w:rPr>
          <w:rFonts w:hAnsi="宋体"/>
          <w:sz w:val="24"/>
          <w:szCs w:val="24"/>
        </w:rPr>
      </w:pPr>
      <w:r>
        <w:rPr>
          <w:rFonts w:hint="eastAsia" w:hAnsi="宋体" w:cs="Times New Roman"/>
          <w:kern w:val="0"/>
          <w:sz w:val="24"/>
          <w:szCs w:val="24"/>
          <w:lang w:val="en-US" w:eastAsia="zh-CN" w:bidi="ar-SA"/>
        </w:rPr>
        <w:t>27</w:t>
      </w:r>
      <w:r>
        <w:rPr>
          <w:rFonts w:hint="eastAsia" w:ascii="宋体" w:hAnsi="宋体" w:eastAsia="宋体" w:cs="Times New Roman"/>
          <w:kern w:val="0"/>
          <w:sz w:val="24"/>
          <w:szCs w:val="24"/>
          <w:lang w:val="en-US" w:eastAsia="zh-CN" w:bidi="ar-SA"/>
        </w:rPr>
        <w:t>.1.</w:t>
      </w:r>
      <w:r>
        <w:rPr>
          <w:rFonts w:hAnsi="宋体" w:cs="Arial"/>
          <w:sz w:val="24"/>
          <w:szCs w:val="24"/>
        </w:rPr>
        <w:t>在磋商采购中，出现下列情形之一的，应予废标</w:t>
      </w:r>
      <w:r>
        <w:rPr>
          <w:rFonts w:hint="eastAsia" w:hAnsi="宋体" w:cs="Arial"/>
          <w:sz w:val="24"/>
          <w:szCs w:val="24"/>
        </w:rPr>
        <w:t>：</w:t>
      </w:r>
    </w:p>
    <w:p>
      <w:pPr>
        <w:pStyle w:val="17"/>
        <w:numPr>
          <w:ilvl w:val="0"/>
          <w:numId w:val="24"/>
        </w:numPr>
        <w:spacing w:line="360" w:lineRule="auto"/>
        <w:rPr>
          <w:rFonts w:hAnsi="宋体" w:cs="Arial"/>
          <w:sz w:val="24"/>
          <w:szCs w:val="24"/>
        </w:rPr>
      </w:pPr>
      <w:r>
        <w:rPr>
          <w:rFonts w:hint="eastAsia" w:hAnsi="宋体" w:cs="Arial"/>
          <w:sz w:val="24"/>
          <w:szCs w:val="24"/>
        </w:rPr>
        <w:t>符合磋商条件的供应商或者对磋商文件作出实质性响应的磋商供应商不足三家的；</w:t>
      </w:r>
    </w:p>
    <w:p>
      <w:pPr>
        <w:pStyle w:val="17"/>
        <w:numPr>
          <w:ilvl w:val="0"/>
          <w:numId w:val="24"/>
        </w:numPr>
        <w:spacing w:line="360" w:lineRule="auto"/>
        <w:rPr>
          <w:rFonts w:hAnsi="宋体" w:cs="Arial"/>
          <w:sz w:val="24"/>
          <w:szCs w:val="24"/>
        </w:rPr>
      </w:pPr>
      <w:r>
        <w:rPr>
          <w:rFonts w:hint="eastAsia" w:hAnsi="宋体" w:cs="Arial"/>
          <w:sz w:val="24"/>
          <w:szCs w:val="24"/>
        </w:rPr>
        <w:t>出现影响采购活动正常推进的违法、违规行为的；</w:t>
      </w:r>
    </w:p>
    <w:p>
      <w:pPr>
        <w:pStyle w:val="17"/>
        <w:numPr>
          <w:ilvl w:val="0"/>
          <w:numId w:val="24"/>
        </w:numPr>
        <w:spacing w:line="360" w:lineRule="auto"/>
        <w:rPr>
          <w:rFonts w:hAnsi="宋体" w:cs="Arial"/>
          <w:sz w:val="24"/>
          <w:szCs w:val="24"/>
        </w:rPr>
      </w:pPr>
      <w:r>
        <w:rPr>
          <w:rFonts w:hint="eastAsia" w:hAnsi="宋体" w:cs="Arial"/>
          <w:sz w:val="24"/>
          <w:szCs w:val="24"/>
        </w:rPr>
        <w:t>供应商的报价均超出采购预算额度，采购单位不能支付的；</w:t>
      </w:r>
    </w:p>
    <w:p>
      <w:pPr>
        <w:pStyle w:val="17"/>
        <w:numPr>
          <w:ilvl w:val="0"/>
          <w:numId w:val="24"/>
        </w:numPr>
        <w:spacing w:line="360" w:lineRule="auto"/>
        <w:rPr>
          <w:rFonts w:hAnsi="宋体" w:cs="Arial"/>
          <w:sz w:val="24"/>
          <w:szCs w:val="24"/>
        </w:rPr>
      </w:pPr>
      <w:r>
        <w:rPr>
          <w:rFonts w:hint="eastAsia" w:hAnsi="宋体" w:cs="Arial"/>
          <w:sz w:val="24"/>
          <w:szCs w:val="24"/>
        </w:rPr>
        <w:t>因重大变故，采购任务取消的。</w:t>
      </w:r>
    </w:p>
    <w:p>
      <w:pPr>
        <w:pStyle w:val="17"/>
        <w:numPr>
          <w:ilvl w:val="1"/>
          <w:numId w:val="0"/>
        </w:numPr>
        <w:spacing w:line="360" w:lineRule="auto"/>
        <w:ind w:left="606" w:leftChars="0" w:hanging="465" w:firstLineChars="0"/>
        <w:rPr>
          <w:rFonts w:hAnsi="宋体"/>
          <w:sz w:val="24"/>
          <w:szCs w:val="24"/>
        </w:rPr>
      </w:pPr>
      <w:r>
        <w:rPr>
          <w:rFonts w:hint="eastAsia" w:hAnsi="宋体" w:cs="Times New Roman"/>
          <w:kern w:val="0"/>
          <w:sz w:val="24"/>
          <w:szCs w:val="24"/>
          <w:lang w:val="en-US" w:eastAsia="zh-CN" w:bidi="ar-SA"/>
        </w:rPr>
        <w:t>27</w:t>
      </w:r>
      <w:r>
        <w:rPr>
          <w:rFonts w:hint="eastAsia" w:ascii="宋体" w:hAnsi="宋体" w:eastAsia="宋体" w:cs="Times New Roman"/>
          <w:kern w:val="0"/>
          <w:sz w:val="24"/>
          <w:szCs w:val="24"/>
          <w:lang w:val="en-US" w:eastAsia="zh-CN" w:bidi="ar-SA"/>
        </w:rPr>
        <w:t>.2.</w:t>
      </w:r>
      <w:r>
        <w:rPr>
          <w:rFonts w:hint="eastAsia" w:hAnsi="宋体"/>
          <w:sz w:val="24"/>
          <w:szCs w:val="24"/>
        </w:rPr>
        <w:t>废标后，由采购代理机构发布废标公告。</w:t>
      </w:r>
    </w:p>
    <w:p>
      <w:pPr>
        <w:tabs>
          <w:tab w:val="left" w:pos="425"/>
          <w:tab w:val="left" w:pos="720"/>
          <w:tab w:val="left" w:pos="1985"/>
          <w:tab w:val="left" w:pos="7088"/>
        </w:tabs>
        <w:spacing w:line="360" w:lineRule="auto"/>
        <w:ind w:left="709"/>
        <w:jc w:val="center"/>
        <w:outlineLvl w:val="1"/>
        <w:rPr>
          <w:rFonts w:hAnsi="宋体"/>
          <w:b/>
          <w:sz w:val="24"/>
          <w:szCs w:val="24"/>
        </w:rPr>
      </w:pPr>
      <w:bookmarkStart w:id="76" w:name="_Toc8908"/>
      <w:r>
        <w:rPr>
          <w:rFonts w:hint="eastAsia" w:hAnsi="宋体"/>
          <w:b/>
          <w:sz w:val="24"/>
          <w:szCs w:val="24"/>
          <w:lang w:val="en-US" w:eastAsia="zh-CN"/>
        </w:rPr>
        <w:t>十一、</w:t>
      </w:r>
      <w:r>
        <w:rPr>
          <w:rFonts w:hint="eastAsia" w:hAnsi="宋体"/>
          <w:b/>
          <w:sz w:val="24"/>
          <w:szCs w:val="24"/>
        </w:rPr>
        <w:t>其他</w:t>
      </w:r>
      <w:bookmarkEnd w:id="76"/>
    </w:p>
    <w:p>
      <w:pPr>
        <w:numPr>
          <w:ilvl w:val="0"/>
          <w:numId w:val="4"/>
        </w:numPr>
        <w:spacing w:before="0" w:after="0" w:line="360" w:lineRule="auto"/>
        <w:outlineLvl w:val="9"/>
        <w:rPr>
          <w:rFonts w:ascii="宋体" w:hAnsi="宋体"/>
          <w:b w:val="0"/>
          <w:sz w:val="24"/>
          <w:szCs w:val="24"/>
        </w:rPr>
      </w:pPr>
      <w:bookmarkStart w:id="77" w:name="_Toc4132"/>
      <w:bookmarkStart w:id="78" w:name="_Toc488673644"/>
      <w:r>
        <w:rPr>
          <w:rFonts w:hint="eastAsia" w:ascii="宋体" w:hAnsi="宋体"/>
          <w:b w:val="0"/>
          <w:sz w:val="24"/>
          <w:szCs w:val="24"/>
        </w:rPr>
        <w:t>串标情形</w:t>
      </w:r>
      <w:bookmarkEnd w:id="77"/>
      <w:bookmarkEnd w:id="78"/>
    </w:p>
    <w:p>
      <w:pPr>
        <w:pStyle w:val="17"/>
        <w:numPr>
          <w:ilvl w:val="0"/>
          <w:numId w:val="0"/>
        </w:numPr>
        <w:spacing w:line="360" w:lineRule="auto"/>
        <w:ind w:firstLine="240" w:firstLineChars="100"/>
        <w:rPr>
          <w:rFonts w:hAnsi="宋体"/>
          <w:sz w:val="24"/>
          <w:szCs w:val="24"/>
        </w:rPr>
      </w:pPr>
      <w:r>
        <w:rPr>
          <w:rFonts w:hint="eastAsia" w:hAnsi="宋体" w:cs="Times New Roman"/>
          <w:kern w:val="0"/>
          <w:sz w:val="24"/>
          <w:szCs w:val="24"/>
          <w:lang w:val="en-US" w:eastAsia="zh-CN" w:bidi="ar-SA"/>
        </w:rPr>
        <w:t>28.</w:t>
      </w:r>
      <w:r>
        <w:rPr>
          <w:rFonts w:ascii="宋体" w:hAnsi="宋体" w:eastAsia="宋体" w:cs="Times New Roman"/>
          <w:kern w:val="0"/>
          <w:sz w:val="24"/>
          <w:szCs w:val="24"/>
          <w:lang w:val="en-US" w:eastAsia="zh-CN" w:bidi="ar-SA"/>
        </w:rPr>
        <w:t>1.</w:t>
      </w:r>
      <w:r>
        <w:rPr>
          <w:rFonts w:hint="eastAsia" w:hAnsi="宋体"/>
          <w:sz w:val="24"/>
          <w:szCs w:val="24"/>
          <w:lang w:eastAsia="zh-CN"/>
        </w:rPr>
        <w:t>供应商</w:t>
      </w:r>
      <w:r>
        <w:rPr>
          <w:rFonts w:hint="eastAsia" w:hAnsi="宋体"/>
          <w:sz w:val="24"/>
          <w:szCs w:val="24"/>
        </w:rPr>
        <w:t>应当遵循公平竞争的原则，不得恶意串通，不得妨碍其他</w:t>
      </w:r>
      <w:r>
        <w:rPr>
          <w:rFonts w:hint="eastAsia" w:hAnsi="宋体"/>
          <w:sz w:val="24"/>
          <w:szCs w:val="24"/>
          <w:lang w:eastAsia="zh-CN"/>
        </w:rPr>
        <w:t>供应商</w:t>
      </w:r>
      <w:r>
        <w:rPr>
          <w:rFonts w:hint="eastAsia" w:hAnsi="宋体"/>
          <w:sz w:val="24"/>
          <w:szCs w:val="24"/>
        </w:rPr>
        <w:t>的竞争行为，不得损害采购人或者其他</w:t>
      </w:r>
      <w:r>
        <w:rPr>
          <w:rFonts w:hint="eastAsia" w:hAnsi="宋体"/>
          <w:sz w:val="24"/>
          <w:szCs w:val="24"/>
          <w:lang w:eastAsia="zh-CN"/>
        </w:rPr>
        <w:t>供应商</w:t>
      </w:r>
      <w:r>
        <w:rPr>
          <w:rFonts w:hint="eastAsia" w:hAnsi="宋体"/>
          <w:sz w:val="24"/>
          <w:szCs w:val="24"/>
        </w:rPr>
        <w:t>的合法权益</w:t>
      </w:r>
      <w:r>
        <w:rPr>
          <w:rFonts w:hint="eastAsia" w:hAnsi="宋体" w:cs="宋体"/>
          <w:sz w:val="24"/>
          <w:szCs w:val="24"/>
        </w:rPr>
        <w:t>。</w:t>
      </w:r>
    </w:p>
    <w:p>
      <w:pPr>
        <w:pStyle w:val="17"/>
        <w:spacing w:line="360" w:lineRule="auto"/>
        <w:ind w:firstLine="240" w:firstLineChars="100"/>
        <w:rPr>
          <w:rFonts w:hAnsi="宋体" w:cs="宋体"/>
          <w:sz w:val="24"/>
          <w:szCs w:val="24"/>
        </w:rPr>
      </w:pPr>
      <w:r>
        <w:rPr>
          <w:rFonts w:hint="eastAsia" w:hAnsi="宋体"/>
          <w:sz w:val="24"/>
          <w:szCs w:val="24"/>
        </w:rPr>
        <w:t>在评标过程中发现</w:t>
      </w:r>
      <w:r>
        <w:rPr>
          <w:rFonts w:hint="eastAsia" w:hAnsi="宋体"/>
          <w:sz w:val="24"/>
          <w:szCs w:val="24"/>
          <w:lang w:eastAsia="zh-CN"/>
        </w:rPr>
        <w:t>供应商</w:t>
      </w:r>
      <w:r>
        <w:rPr>
          <w:rFonts w:hint="eastAsia" w:hAnsi="宋体"/>
          <w:sz w:val="24"/>
          <w:szCs w:val="24"/>
        </w:rPr>
        <w:t>有上述情形的，评标委员会应当认定其投标无效，并书面报告本级财政部门</w:t>
      </w:r>
      <w:r>
        <w:rPr>
          <w:rFonts w:hint="eastAsia" w:hAnsi="宋体" w:cs="宋体"/>
          <w:sz w:val="24"/>
          <w:szCs w:val="24"/>
        </w:rPr>
        <w:t>。</w:t>
      </w:r>
    </w:p>
    <w:p>
      <w:pPr>
        <w:pStyle w:val="17"/>
        <w:numPr>
          <w:ilvl w:val="0"/>
          <w:numId w:val="0"/>
        </w:numPr>
        <w:spacing w:line="360" w:lineRule="auto"/>
        <w:ind w:firstLine="240" w:firstLineChars="100"/>
        <w:rPr>
          <w:rFonts w:hAnsi="宋体"/>
          <w:sz w:val="24"/>
          <w:szCs w:val="24"/>
        </w:rPr>
      </w:pPr>
      <w:r>
        <w:rPr>
          <w:rFonts w:hint="eastAsia" w:hAnsi="宋体" w:cs="Times New Roman"/>
          <w:kern w:val="0"/>
          <w:sz w:val="24"/>
          <w:szCs w:val="24"/>
          <w:lang w:val="en-US" w:eastAsia="zh-CN" w:bidi="ar-SA"/>
        </w:rPr>
        <w:t>28.</w:t>
      </w:r>
      <w:r>
        <w:rPr>
          <w:rFonts w:ascii="宋体" w:hAnsi="宋体" w:eastAsia="宋体" w:cs="Times New Roman"/>
          <w:kern w:val="0"/>
          <w:sz w:val="24"/>
          <w:szCs w:val="24"/>
          <w:lang w:val="en-US" w:eastAsia="zh-CN" w:bidi="ar-SA"/>
        </w:rPr>
        <w:t>2.</w:t>
      </w:r>
      <w:r>
        <w:rPr>
          <w:rFonts w:hint="eastAsia" w:hAnsi="宋体"/>
          <w:sz w:val="24"/>
          <w:szCs w:val="24"/>
        </w:rPr>
        <w:t>有下列情形之一的，视为</w:t>
      </w:r>
      <w:r>
        <w:rPr>
          <w:rFonts w:hint="eastAsia" w:hAnsi="宋体"/>
          <w:sz w:val="24"/>
          <w:szCs w:val="24"/>
          <w:lang w:eastAsia="zh-CN"/>
        </w:rPr>
        <w:t>供应商</w:t>
      </w:r>
      <w:r>
        <w:rPr>
          <w:rFonts w:hint="eastAsia" w:hAnsi="宋体"/>
          <w:sz w:val="24"/>
          <w:szCs w:val="24"/>
        </w:rPr>
        <w:t>串通投标，其投标无效：</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的响应文件由同一单位或者个人编制；</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委托同一单位或者个人办理投标事宜；</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的响应文件载明的项目管理成员或者联系人员为同一人；</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的响应文件异常一致或者投标报价呈规律性差异；</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的响应文件相互混装；</w:t>
      </w:r>
    </w:p>
    <w:p>
      <w:pPr>
        <w:pStyle w:val="17"/>
        <w:numPr>
          <w:ilvl w:val="0"/>
          <w:numId w:val="25"/>
        </w:numPr>
        <w:spacing w:line="360" w:lineRule="auto"/>
        <w:rPr>
          <w:rFonts w:hAnsi="宋体"/>
          <w:sz w:val="24"/>
          <w:szCs w:val="24"/>
        </w:rPr>
      </w:pPr>
      <w:r>
        <w:rPr>
          <w:rFonts w:hint="eastAsia" w:hAnsi="宋体" w:cs="宋体"/>
          <w:sz w:val="24"/>
          <w:szCs w:val="24"/>
        </w:rPr>
        <w:t>不同</w:t>
      </w:r>
      <w:r>
        <w:rPr>
          <w:rFonts w:hint="eastAsia" w:hAnsi="宋体" w:cs="宋体"/>
          <w:sz w:val="24"/>
          <w:szCs w:val="24"/>
          <w:lang w:eastAsia="zh-CN"/>
        </w:rPr>
        <w:t>供应商</w:t>
      </w:r>
      <w:r>
        <w:rPr>
          <w:rFonts w:hint="eastAsia" w:hAnsi="宋体" w:cs="宋体"/>
          <w:sz w:val="24"/>
          <w:szCs w:val="24"/>
        </w:rPr>
        <w:t>的投标保证金从同一单位或者个人的账户转出。</w:t>
      </w:r>
    </w:p>
    <w:p>
      <w:pPr>
        <w:pStyle w:val="17"/>
        <w:numPr>
          <w:ilvl w:val="0"/>
          <w:numId w:val="0"/>
        </w:numPr>
        <w:spacing w:line="360" w:lineRule="auto"/>
        <w:ind w:firstLine="240" w:firstLineChars="100"/>
        <w:jc w:val="left"/>
        <w:outlineLvl w:val="9"/>
        <w:rPr>
          <w:rFonts w:hint="eastAsia" w:hAnsi="宋体"/>
          <w:sz w:val="24"/>
          <w:szCs w:val="24"/>
        </w:rPr>
      </w:pPr>
      <w:r>
        <w:rPr>
          <w:rFonts w:hint="eastAsia" w:hAnsi="宋体" w:cs="Times New Roman"/>
          <w:kern w:val="0"/>
          <w:sz w:val="24"/>
          <w:szCs w:val="24"/>
          <w:lang w:val="en-US" w:eastAsia="zh-CN" w:bidi="ar-SA"/>
        </w:rPr>
        <w:t>28.</w:t>
      </w:r>
      <w:r>
        <w:rPr>
          <w:rFonts w:ascii="宋体" w:hAnsi="宋体" w:eastAsia="宋体" w:cs="Times New Roman"/>
          <w:kern w:val="0"/>
          <w:sz w:val="24"/>
          <w:szCs w:val="24"/>
          <w:lang w:val="en-US" w:eastAsia="zh-CN" w:bidi="ar-SA"/>
        </w:rPr>
        <w:t>3.</w:t>
      </w:r>
      <w:r>
        <w:rPr>
          <w:rFonts w:hint="eastAsia" w:hAnsi="宋体"/>
          <w:sz w:val="24"/>
          <w:szCs w:val="24"/>
        </w:rPr>
        <w:t>其他未尽事宜，按照《中华人民共和国政府采购法》、《中华人民共和国民法典》、《中华人民共和国政府采购法实施条例》、《政府采购竞争性磋商采购方式管理暂行办法》等法律法规的有关条款执行。</w:t>
      </w:r>
    </w:p>
    <w:p>
      <w:pPr>
        <w:rPr>
          <w:rFonts w:hint="eastAsia" w:hAnsi="宋体"/>
          <w:sz w:val="24"/>
          <w:szCs w:val="24"/>
        </w:rPr>
      </w:pPr>
    </w:p>
    <w:p>
      <w:pPr>
        <w:pStyle w:val="23"/>
        <w:outlineLvl w:val="0"/>
        <w:rPr>
          <w:rFonts w:hint="eastAsia"/>
          <w:sz w:val="48"/>
          <w:szCs w:val="48"/>
        </w:rPr>
      </w:pPr>
      <w:bookmarkStart w:id="79" w:name="_Toc13998"/>
      <w:r>
        <w:rPr>
          <w:rFonts w:hint="eastAsia"/>
          <w:sz w:val="48"/>
          <w:szCs w:val="48"/>
          <w:lang w:val="en-US" w:eastAsia="zh-CN"/>
        </w:rPr>
        <w:t>第四部分  青海省政府采购合同文本样式</w:t>
      </w:r>
      <w:bookmarkEnd w:id="79"/>
    </w:p>
    <w:p>
      <w:pPr>
        <w:pStyle w:val="17"/>
        <w:spacing w:line="360" w:lineRule="auto"/>
        <w:ind w:firstLine="482" w:firstLineChars="200"/>
        <w:outlineLvl w:val="9"/>
        <w:rPr>
          <w:rFonts w:hAnsi="宋体"/>
          <w:b/>
          <w:sz w:val="24"/>
          <w:szCs w:val="24"/>
        </w:rPr>
      </w:pPr>
    </w:p>
    <w:p>
      <w:pPr>
        <w:pStyle w:val="28"/>
        <w:keepNext w:val="0"/>
        <w:keepLines w:val="0"/>
        <w:widowControl/>
        <w:suppressLineNumbers w:val="0"/>
        <w:spacing w:before="0" w:beforeAutospacing="0" w:after="0" w:afterAutospacing="0"/>
        <w:ind w:left="0" w:right="0" w:firstLine="0"/>
        <w:jc w:val="center"/>
        <w:outlineLvl w:val="9"/>
        <w:rPr>
          <w:rFonts w:hint="eastAsia"/>
          <w:b/>
          <w:bCs/>
          <w:sz w:val="40"/>
          <w:szCs w:val="40"/>
          <w:lang w:val="en-US" w:eastAsia="zh-CN"/>
        </w:rPr>
      </w:pPr>
    </w:p>
    <w:p>
      <w:pPr>
        <w:pStyle w:val="28"/>
        <w:keepNext w:val="0"/>
        <w:keepLines w:val="0"/>
        <w:widowControl/>
        <w:suppressLineNumbers w:val="0"/>
        <w:spacing w:before="0" w:beforeAutospacing="0" w:after="0" w:afterAutospacing="0"/>
        <w:ind w:left="0" w:right="0" w:firstLine="0"/>
        <w:jc w:val="center"/>
        <w:outlineLvl w:val="9"/>
        <w:rPr>
          <w:rFonts w:hint="eastAsia"/>
          <w:b/>
          <w:bCs/>
          <w:sz w:val="40"/>
          <w:szCs w:val="40"/>
          <w:lang w:val="en-US" w:eastAsia="zh-CN"/>
        </w:rPr>
      </w:pPr>
      <w:r>
        <w:rPr>
          <w:rFonts w:hint="eastAsia"/>
          <w:b/>
          <w:bCs/>
          <w:sz w:val="40"/>
          <w:szCs w:val="40"/>
          <w:lang w:val="en-US" w:eastAsia="zh-CN"/>
        </w:rPr>
        <w:t>（货物类）</w:t>
      </w:r>
    </w:p>
    <w:p>
      <w:pPr>
        <w:pStyle w:val="28"/>
        <w:keepNext w:val="0"/>
        <w:keepLines w:val="0"/>
        <w:widowControl/>
        <w:suppressLineNumbers w:val="0"/>
        <w:spacing w:before="0" w:beforeAutospacing="0" w:after="0" w:afterAutospacing="0"/>
        <w:ind w:left="0" w:right="0" w:firstLine="0"/>
        <w:jc w:val="center"/>
        <w:outlineLvl w:val="9"/>
        <w:rPr>
          <w:rFonts w:hint="eastAsia"/>
          <w:b/>
          <w:bCs/>
          <w:sz w:val="40"/>
          <w:szCs w:val="40"/>
          <w:lang w:val="en-US" w:eastAsia="zh-CN"/>
        </w:rPr>
      </w:pPr>
    </w:p>
    <w:p>
      <w:pPr>
        <w:spacing w:before="152" w:line="223" w:lineRule="auto"/>
        <w:jc w:val="center"/>
        <w:outlineLvl w:val="9"/>
        <w:rPr>
          <w:rFonts w:ascii="宋体" w:hAnsi="宋体" w:eastAsia="宋体" w:cs="宋体"/>
          <w:sz w:val="47"/>
          <w:szCs w:val="47"/>
        </w:rPr>
      </w:pPr>
      <w:r>
        <w:rPr>
          <w:rFonts w:ascii="宋体" w:hAnsi="宋体" w:eastAsia="宋体" w:cs="宋体"/>
          <w:spacing w:val="10"/>
          <w:sz w:val="47"/>
          <w:szCs w:val="47"/>
          <w14:textOutline w14:w="8717" w14:cap="sq" w14:cmpd="sng">
            <w14:solidFill>
              <w14:srgbClr w14:val="000000"/>
            </w14:solidFill>
            <w14:prstDash w14:val="solid"/>
            <w14:bevel/>
          </w14:textOutline>
        </w:rPr>
        <w:t>青海省政府采购项目合同书</w:t>
      </w:r>
    </w:p>
    <w:p>
      <w:pPr>
        <w:pStyle w:val="28"/>
        <w:keepNext w:val="0"/>
        <w:keepLines w:val="0"/>
        <w:widowControl/>
        <w:suppressLineNumbers w:val="0"/>
        <w:spacing w:before="0" w:beforeAutospacing="0" w:after="0" w:afterAutospacing="0"/>
        <w:ind w:left="0" w:right="0" w:firstLine="0"/>
        <w:jc w:val="center"/>
        <w:outlineLvl w:val="9"/>
        <w:rPr>
          <w:b/>
          <w:bCs/>
          <w:sz w:val="72"/>
          <w:szCs w:val="72"/>
        </w:rPr>
      </w:pPr>
    </w:p>
    <w:p>
      <w:pPr>
        <w:pStyle w:val="28"/>
        <w:keepNext w:val="0"/>
        <w:keepLines w:val="0"/>
        <w:widowControl/>
        <w:suppressLineNumbers w:val="0"/>
        <w:spacing w:before="0" w:beforeAutospacing="0" w:after="0" w:afterAutospacing="0"/>
        <w:ind w:left="0" w:right="0" w:firstLine="0"/>
        <w:jc w:val="center"/>
        <w:outlineLvl w:val="9"/>
        <w:rPr>
          <w:rFonts w:hint="eastAsia" w:eastAsia="宋体"/>
          <w:b/>
          <w:bCs/>
          <w:sz w:val="72"/>
          <w:szCs w:val="72"/>
          <w:lang w:val="en-US" w:eastAsia="zh-CN"/>
        </w:rPr>
      </w:pPr>
      <w:r>
        <w:rPr>
          <w:rFonts w:hint="eastAsia"/>
          <w:b/>
          <w:bCs/>
          <w:sz w:val="72"/>
          <w:szCs w:val="72"/>
          <w:lang w:val="en-US" w:eastAsia="zh-CN"/>
        </w:rPr>
        <w:t xml:space="preserve"> </w:t>
      </w:r>
    </w:p>
    <w:p>
      <w:pPr>
        <w:outlineLvl w:val="9"/>
      </w:pPr>
    </w:p>
    <w:p>
      <w:pPr>
        <w:spacing w:before="244" w:line="219" w:lineRule="auto"/>
        <w:ind w:left="35" w:firstLine="600" w:firstLineChars="200"/>
        <w:outlineLvl w:val="9"/>
        <w:rPr>
          <w:rFonts w:hint="default" w:ascii="宋体" w:hAnsi="宋体" w:eastAsia="宋体" w:cs="宋体"/>
          <w:sz w:val="30"/>
          <w:szCs w:val="30"/>
          <w:u w:val="single"/>
          <w:lang w:val="en-US" w:eastAsia="zh-CN"/>
          <w14:textOutline w14:w="5448" w14:cap="sq" w14:cmpd="sng">
            <w14:solidFill>
              <w14:srgbClr w14:val="000000"/>
            </w14:solidFill>
            <w14:prstDash w14:val="solid"/>
            <w14:bevel/>
          </w14:textOutline>
        </w:rPr>
      </w:pPr>
      <w:r>
        <w:rPr>
          <w:rFonts w:ascii="宋体" w:hAnsi="宋体" w:eastAsia="宋体" w:cs="宋体"/>
          <w:sz w:val="30"/>
          <w:szCs w:val="30"/>
          <w14:textOutline w14:w="5448" w14:cap="sq" w14:cmpd="sng">
            <w14:solidFill>
              <w14:srgbClr w14:val="000000"/>
            </w14:solidFill>
            <w14:prstDash w14:val="solid"/>
            <w14:bevel/>
          </w14:textOutline>
        </w:rPr>
        <w:t>采购项目编号：</w:t>
      </w:r>
      <w:r>
        <w:rPr>
          <w:rFonts w:hint="eastAsia" w:ascii="宋体" w:hAnsi="宋体" w:eastAsia="宋体" w:cs="宋体"/>
          <w:sz w:val="30"/>
          <w:szCs w:val="30"/>
          <w:u w:val="single"/>
          <w:lang w:val="zh-CN"/>
          <w14:textOutline w14:w="5448" w14:cap="sq" w14:cmpd="sng">
            <w14:solidFill>
              <w14:srgbClr w14:val="000000"/>
            </w14:solidFill>
            <w14:prstDash w14:val="solid"/>
            <w14:bevel/>
          </w14:textOutline>
        </w:rPr>
        <w:t>青海世瀚竞磋（货物）202</w:t>
      </w:r>
      <w:r>
        <w:rPr>
          <w:rFonts w:hint="eastAsia" w:ascii="宋体" w:hAnsi="宋体" w:eastAsia="宋体" w:cs="宋体"/>
          <w:sz w:val="30"/>
          <w:szCs w:val="30"/>
          <w:u w:val="single"/>
          <w:lang w:val="en-US" w:eastAsia="zh-CN"/>
          <w14:textOutline w14:w="5448" w14:cap="sq" w14:cmpd="sng">
            <w14:solidFill>
              <w14:srgbClr w14:val="000000"/>
            </w14:solidFill>
            <w14:prstDash w14:val="solid"/>
            <w14:bevel/>
          </w14:textOutline>
        </w:rPr>
        <w:t>4</w:t>
      </w:r>
      <w:r>
        <w:rPr>
          <w:rFonts w:hint="eastAsia" w:ascii="宋体" w:hAnsi="宋体" w:eastAsia="宋体" w:cs="宋体"/>
          <w:sz w:val="30"/>
          <w:szCs w:val="30"/>
          <w:u w:val="single"/>
          <w:lang w:val="zh-CN"/>
          <w14:textOutline w14:w="5448" w14:cap="sq" w14:cmpd="sng">
            <w14:solidFill>
              <w14:srgbClr w14:val="000000"/>
            </w14:solidFill>
            <w14:prstDash w14:val="solid"/>
            <w14:bevel/>
          </w14:textOutline>
        </w:rPr>
        <w:t>-0</w:t>
      </w:r>
      <w:r>
        <w:rPr>
          <w:rFonts w:hint="eastAsia" w:ascii="宋体" w:hAnsi="宋体" w:eastAsia="宋体" w:cs="宋体"/>
          <w:sz w:val="30"/>
          <w:szCs w:val="30"/>
          <w:u w:val="single"/>
          <w:lang w:val="en-US" w:eastAsia="zh-CN"/>
          <w14:textOutline w14:w="5448" w14:cap="sq" w14:cmpd="sng">
            <w14:solidFill>
              <w14:srgbClr w14:val="000000"/>
            </w14:solidFill>
            <w14:prstDash w14:val="solid"/>
            <w14:bevel/>
          </w14:textOutline>
        </w:rPr>
        <w:t>01</w:t>
      </w:r>
      <w:r>
        <w:rPr>
          <w:rFonts w:hint="eastAsia" w:ascii="宋体" w:hAnsi="宋体" w:cs="宋体"/>
          <w:sz w:val="30"/>
          <w:szCs w:val="30"/>
          <w:u w:val="single"/>
          <w:lang w:val="en-US" w:eastAsia="zh-CN"/>
          <w14:textOutline w14:w="5448" w14:cap="sq" w14:cmpd="sng">
            <w14:solidFill>
              <w14:srgbClr w14:val="000000"/>
            </w14:solidFill>
            <w14:prstDash w14:val="solid"/>
            <w14:bevel/>
          </w14:textOutline>
        </w:rPr>
        <w:t>-1</w:t>
      </w:r>
    </w:p>
    <w:p>
      <w:pPr>
        <w:spacing w:before="244" w:line="219" w:lineRule="auto"/>
        <w:ind w:left="35" w:firstLine="604" w:firstLineChars="200"/>
        <w:outlineLvl w:val="9"/>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采购项目名称：</w:t>
      </w:r>
      <w:r>
        <w:rPr>
          <w:rFonts w:ascii="宋体" w:hAnsi="宋体" w:eastAsia="宋体" w:cs="宋体"/>
          <w:spacing w:val="1"/>
          <w:sz w:val="30"/>
          <w:szCs w:val="30"/>
          <w:u w:val="single" w:color="000000"/>
          <w14:textOutline w14:w="5448" w14:cap="sq" w14:cmpd="sng">
            <w14:solidFill>
              <w14:srgbClr w14:val="000000"/>
            </w14:solidFill>
            <w14:prstDash w14:val="solid"/>
            <w14:bevel/>
          </w14:textOutline>
        </w:rPr>
        <w:t>都兰县202</w:t>
      </w:r>
      <w:r>
        <w:rPr>
          <w:rFonts w:hint="eastAsia" w:ascii="宋体" w:hAnsi="宋体" w:cs="宋体"/>
          <w:spacing w:val="1"/>
          <w:sz w:val="30"/>
          <w:szCs w:val="30"/>
          <w:u w:val="single" w:color="000000"/>
          <w:lang w:val="en-US" w:eastAsia="zh-CN"/>
          <w14:textOutline w14:w="5448" w14:cap="sq" w14:cmpd="sng">
            <w14:solidFill>
              <w14:srgbClr w14:val="000000"/>
            </w14:solidFill>
            <w14:prstDash w14:val="solid"/>
            <w14:bevel/>
          </w14:textOutline>
        </w:rPr>
        <w:t>4</w:t>
      </w:r>
      <w:r>
        <w:rPr>
          <w:rFonts w:ascii="宋体" w:hAnsi="宋体" w:eastAsia="宋体" w:cs="宋体"/>
          <w:spacing w:val="1"/>
          <w:sz w:val="30"/>
          <w:szCs w:val="30"/>
          <w:u w:val="single" w:color="000000"/>
          <w14:textOutline w14:w="5448" w14:cap="sq" w14:cmpd="sng">
            <w14:solidFill>
              <w14:srgbClr w14:val="000000"/>
            </w14:solidFill>
            <w14:prstDash w14:val="solid"/>
            <w14:bevel/>
          </w14:textOutline>
        </w:rPr>
        <w:t>年国有林场林木种</w:t>
      </w:r>
      <w:r>
        <w:rPr>
          <w:rFonts w:ascii="宋体" w:hAnsi="宋体" w:eastAsia="宋体" w:cs="宋体"/>
          <w:sz w:val="30"/>
          <w:szCs w:val="30"/>
          <w:u w:val="single" w:color="000000"/>
          <w14:textOutline w14:w="5448" w14:cap="sq" w14:cmpd="sng">
            <w14:solidFill>
              <w14:srgbClr w14:val="000000"/>
            </w14:solidFill>
            <w14:prstDash w14:val="solid"/>
            <w14:bevel/>
          </w14:textOutline>
        </w:rPr>
        <w:t>苗基地建设项目</w:t>
      </w:r>
    </w:p>
    <w:p>
      <w:pPr>
        <w:spacing w:before="244" w:line="219" w:lineRule="auto"/>
        <w:ind w:left="35" w:firstLine="596" w:firstLineChars="200"/>
        <w:outlineLvl w:val="9"/>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采购合同编号：</w:t>
      </w:r>
      <w:r>
        <w:rPr>
          <w:rFonts w:ascii="宋体" w:hAnsi="宋体" w:eastAsia="宋体" w:cs="宋体"/>
          <w:sz w:val="30"/>
          <w:szCs w:val="30"/>
          <w:u w:val="single" w:color="auto"/>
        </w:rPr>
        <w:t xml:space="preserve">                    </w:t>
      </w:r>
    </w:p>
    <w:p>
      <w:pPr>
        <w:spacing w:before="245" w:line="369" w:lineRule="auto"/>
        <w:ind w:left="37" w:firstLine="596" w:firstLineChars="200"/>
        <w:outlineLvl w:val="9"/>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合同金额（人民币</w:t>
      </w:r>
      <w:r>
        <w:rPr>
          <w:rFonts w:ascii="宋体" w:hAnsi="宋体" w:eastAsia="宋体" w:cs="宋体"/>
          <w:spacing w:val="2"/>
          <w:sz w:val="30"/>
          <w:szCs w:val="30"/>
          <w14:textOutline w14:w="5448" w14:cap="sq" w14:cmpd="sng">
            <w14:solidFill>
              <w14:srgbClr w14:val="000000"/>
            </w14:solidFill>
            <w14:prstDash w14:val="solid"/>
            <w14:bevel/>
          </w14:textOutline>
        </w:rPr>
        <w:t>）：</w:t>
      </w:r>
      <w:r>
        <w:rPr>
          <w:rFonts w:ascii="宋体" w:hAnsi="宋体" w:eastAsia="宋体" w:cs="宋体"/>
          <w:sz w:val="30"/>
          <w:szCs w:val="30"/>
          <w:u w:val="single" w:color="auto"/>
        </w:rPr>
        <w:t xml:space="preserve">                </w:t>
      </w:r>
    </w:p>
    <w:p>
      <w:pPr>
        <w:spacing w:before="1" w:line="218" w:lineRule="auto"/>
        <w:ind w:left="35" w:firstLine="616" w:firstLineChars="200"/>
        <w:outlineLvl w:val="9"/>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采购人（甲方</w:t>
      </w:r>
      <w:r>
        <w:rPr>
          <w:rFonts w:ascii="宋体" w:hAnsi="宋体" w:eastAsia="宋体" w:cs="宋体"/>
          <w:spacing w:val="-12"/>
          <w:sz w:val="30"/>
          <w:szCs w:val="30"/>
          <w14:textOutline w14:w="5448" w14:cap="sq" w14:cmpd="sng">
            <w14:solidFill>
              <w14:srgbClr w14:val="000000"/>
            </w14:solidFill>
            <w14:prstDash w14:val="solid"/>
            <w14:bevel/>
          </w14:textOutline>
        </w:rPr>
        <w:t>）：</w:t>
      </w:r>
      <w:r>
        <w:rPr>
          <w:rFonts w:ascii="宋体" w:hAnsi="宋体" w:eastAsia="宋体" w:cs="宋体"/>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4"/>
          <w:sz w:val="30"/>
          <w:szCs w:val="30"/>
          <w:u w:val="single" w:color="000000"/>
          <w14:textOutline w14:w="5448" w14:cap="sq" w14:cmpd="sng">
            <w14:solidFill>
              <w14:srgbClr w14:val="000000"/>
            </w14:solidFill>
            <w14:prstDash w14:val="solid"/>
            <w14:bevel/>
          </w14:textOutline>
        </w:rPr>
        <w:t>盖章）</w:t>
      </w:r>
    </w:p>
    <w:p>
      <w:pPr>
        <w:spacing w:before="244" w:line="219" w:lineRule="auto"/>
        <w:ind w:left="36" w:firstLine="616" w:firstLineChars="200"/>
        <w:outlineLvl w:val="9"/>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供应商（乙方</w:t>
      </w:r>
      <w:r>
        <w:rPr>
          <w:rFonts w:ascii="宋体" w:hAnsi="宋体" w:eastAsia="宋体" w:cs="宋体"/>
          <w:spacing w:val="-12"/>
          <w:sz w:val="30"/>
          <w:szCs w:val="30"/>
          <w14:textOutline w14:w="5448" w14:cap="sq" w14:cmpd="sng">
            <w14:solidFill>
              <w14:srgbClr w14:val="000000"/>
            </w14:solidFill>
            <w14:prstDash w14:val="solid"/>
            <w14:bevel/>
          </w14:textOutline>
        </w:rPr>
        <w:t>）：</w:t>
      </w:r>
      <w:r>
        <w:rPr>
          <w:rFonts w:ascii="宋体" w:hAnsi="宋体" w:eastAsia="宋体" w:cs="宋体"/>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4"/>
          <w:sz w:val="30"/>
          <w:szCs w:val="30"/>
          <w:u w:val="single" w:color="000000"/>
          <w14:textOutline w14:w="5448" w14:cap="sq" w14:cmpd="sng">
            <w14:solidFill>
              <w14:srgbClr w14:val="000000"/>
            </w14:solidFill>
            <w14:prstDash w14:val="solid"/>
            <w14:bevel/>
          </w14:textOutline>
        </w:rPr>
        <w:t>盖章）</w:t>
      </w:r>
    </w:p>
    <w:p>
      <w:pPr>
        <w:spacing w:before="244" w:line="219" w:lineRule="auto"/>
        <w:ind w:left="35" w:firstLine="592" w:firstLineChars="200"/>
        <w:outlineLvl w:val="9"/>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采购日期：</w:t>
      </w:r>
      <w:r>
        <w:rPr>
          <w:rFonts w:ascii="宋体" w:hAnsi="宋体" w:eastAsia="宋体" w:cs="宋体"/>
          <w:sz w:val="30"/>
          <w:szCs w:val="30"/>
          <w:u w:val="single" w:color="auto"/>
        </w:rPr>
        <w:t xml:space="preserve">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800" w:lineRule="exact"/>
        <w:ind w:right="0"/>
        <w:textAlignment w:val="auto"/>
        <w:outlineLvl w:val="9"/>
        <w:rPr>
          <w:rFonts w:hint="eastAsia" w:ascii="宋体" w:hAnsi="宋体" w:eastAsia="宋体" w:cs="宋体"/>
          <w:b/>
          <w:bCs/>
          <w:sz w:val="36"/>
          <w:szCs w:val="36"/>
        </w:rPr>
      </w:pPr>
    </w:p>
    <w:p>
      <w:pPr>
        <w:jc w:val="left"/>
        <w:outlineLvl w:val="9"/>
        <w:rPr>
          <w:rFonts w:hint="eastAsia" w:cs="宋体"/>
          <w:b/>
          <w:bCs/>
          <w:sz w:val="24"/>
          <w:szCs w:val="24"/>
          <w:lang w:val="en-US" w:eastAsia="zh-CN"/>
        </w:rPr>
      </w:pPr>
      <w:r>
        <w:rPr>
          <w:rFonts w:hint="eastAsia" w:ascii="宋体" w:hAnsi="宋体" w:cs="宋体"/>
          <w:color w:val="000000"/>
          <w:sz w:val="24"/>
          <w:szCs w:val="24"/>
        </w:rPr>
        <w:t>注：此为签订合同参考范本，合同签订双方可根据项目的具体要求进行补充修订，但合同标的、数量、金额、服务承诺等必须与磋商文件和中标人的响应文件保持一致。</w:t>
      </w:r>
    </w:p>
    <w:p>
      <w:pPr>
        <w:rPr>
          <w:rFonts w:ascii="宋体" w:hAnsi="宋体" w:eastAsia="宋体" w:cs="宋体"/>
          <w:position w:val="21"/>
          <w:sz w:val="24"/>
          <w:szCs w:val="24"/>
          <w14:textOutline w14:w="4358" w14:cap="sq" w14:cmpd="sng">
            <w14:solidFill>
              <w14:srgbClr w14:val="000000"/>
            </w14:solidFill>
            <w14:prstDash w14:val="solid"/>
            <w14:bevel/>
          </w14:textOutline>
        </w:rPr>
      </w:pPr>
      <w:r>
        <w:rPr>
          <w:rFonts w:ascii="宋体" w:hAnsi="宋体" w:eastAsia="宋体" w:cs="宋体"/>
          <w:position w:val="21"/>
          <w:sz w:val="24"/>
          <w:szCs w:val="24"/>
          <w14:textOutline w14:w="4358" w14:cap="sq" w14:cmpd="sng">
            <w14:solidFill>
              <w14:srgbClr w14:val="000000"/>
            </w14:solidFill>
            <w14:prstDash w14:val="solid"/>
            <w14:bevel/>
          </w14:textOutline>
        </w:rPr>
        <w:br w:type="page"/>
      </w:r>
    </w:p>
    <w:p>
      <w:pPr>
        <w:autoSpaceDE w:val="0"/>
        <w:autoSpaceDN w:val="0"/>
        <w:spacing w:line="520" w:lineRule="exact"/>
        <w:ind w:firstLine="0" w:firstLineChars="0"/>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zh-CN"/>
        </w:rPr>
        <w:t>采购人（以下简称甲方）：</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b/>
          <w:bCs/>
          <w:color w:val="000000"/>
          <w:sz w:val="28"/>
          <w:szCs w:val="28"/>
          <w:lang w:val="zh-CN"/>
        </w:rPr>
        <w:t>供应商（以下简称乙方）：</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甲、乙双方根据</w:t>
      </w:r>
      <w:r>
        <w:rPr>
          <w:rFonts w:hint="eastAsia" w:ascii="宋体" w:hAnsi="宋体" w:eastAsia="宋体" w:cs="宋体"/>
          <w:color w:val="000000"/>
          <w:sz w:val="28"/>
          <w:szCs w:val="28"/>
          <w:u w:val="single"/>
        </w:rPr>
        <w:t>202X</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x</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x</w:t>
      </w:r>
      <w:r>
        <w:rPr>
          <w:rFonts w:hint="eastAsia" w:ascii="宋体" w:hAnsi="宋体" w:eastAsia="宋体" w:cs="宋体"/>
          <w:color w:val="000000"/>
          <w:sz w:val="28"/>
          <w:szCs w:val="28"/>
        </w:rPr>
        <w:t>日项目（项目编号）的磋商文件要求和青海</w:t>
      </w:r>
      <w:r>
        <w:rPr>
          <w:rFonts w:hint="eastAsia" w:ascii="宋体" w:hAnsi="宋体" w:eastAsia="宋体" w:cs="宋体"/>
          <w:color w:val="000000"/>
          <w:sz w:val="28"/>
          <w:szCs w:val="28"/>
          <w:lang w:val="en-US" w:eastAsia="zh-CN"/>
        </w:rPr>
        <w:t>世瀚工程项目管理</w:t>
      </w:r>
      <w:r>
        <w:rPr>
          <w:rFonts w:hint="eastAsia" w:ascii="宋体" w:hAnsi="宋体" w:eastAsia="宋体" w:cs="宋体"/>
          <w:color w:val="000000"/>
          <w:sz w:val="28"/>
          <w:szCs w:val="28"/>
        </w:rPr>
        <w:t>有限公司出具的《成交通知书》，并经双方协商一致，签订本合同协议书。</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一、签订本政府采购合同的依据</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本政府采购合同所附下列文件是构成本政府采购合同不可分割的部分：</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1.磋商文件；</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2.磋商文件的更正、变更公告；</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3.成交供应商提交的磋商响应文件；</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4.磋商文件中规定的政府采购合同通用条款；</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5.成交通知书；</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6.履约保证金缴纳证明；</w:t>
      </w:r>
    </w:p>
    <w:p>
      <w:pPr>
        <w:autoSpaceDE w:val="0"/>
        <w:autoSpaceDN w:val="0"/>
        <w:spacing w:line="520" w:lineRule="exact"/>
        <w:ind w:firstLine="280" w:firstLineChars="100"/>
        <w:jc w:val="left"/>
        <w:rPr>
          <w:rFonts w:hint="eastAsia" w:ascii="宋体" w:hAnsi="宋体" w:eastAsia="宋体" w:cs="宋体"/>
          <w:color w:val="000000"/>
          <w:sz w:val="28"/>
          <w:szCs w:val="28"/>
        </w:rPr>
      </w:pPr>
      <w:r>
        <w:rPr>
          <w:rFonts w:hint="eastAsia" w:ascii="宋体" w:hAnsi="宋体" w:eastAsia="宋体" w:cs="宋体"/>
          <w:color w:val="000000"/>
          <w:sz w:val="28"/>
          <w:szCs w:val="28"/>
        </w:rPr>
        <w:t>7.青海省政府采购计划备案（审核）表。</w:t>
      </w:r>
    </w:p>
    <w:p>
      <w:pPr>
        <w:autoSpaceDE w:val="0"/>
        <w:autoSpaceDN w:val="0"/>
        <w:spacing w:line="520" w:lineRule="exact"/>
        <w:ind w:firstLine="281" w:firstLineChars="100"/>
        <w:jc w:val="left"/>
        <w:rPr>
          <w:rFonts w:hint="eastAsia" w:ascii="宋体" w:hAnsi="宋体" w:eastAsia="宋体" w:cs="宋体"/>
          <w:color w:val="000000"/>
          <w:sz w:val="28"/>
          <w:szCs w:val="28"/>
          <w:lang w:val="zh-CN"/>
        </w:rPr>
      </w:pPr>
      <w:r>
        <w:rPr>
          <w:rFonts w:hint="eastAsia" w:ascii="宋体" w:hAnsi="宋体" w:eastAsia="宋体" w:cs="宋体"/>
          <w:b/>
          <w:color w:val="000000"/>
          <w:sz w:val="28"/>
          <w:szCs w:val="28"/>
        </w:rPr>
        <w:t>二、合同标的及金额</w:t>
      </w:r>
      <w:r>
        <w:rPr>
          <w:rFonts w:hint="eastAsia" w:ascii="宋体" w:hAnsi="宋体" w:eastAsia="宋体" w:cs="宋体"/>
          <w:b/>
          <w:color w:val="000000"/>
          <w:sz w:val="28"/>
          <w:szCs w:val="28"/>
          <w:lang w:val="en-US" w:eastAsia="zh-CN"/>
        </w:rPr>
        <w:t xml:space="preserve">                                   </w:t>
      </w:r>
      <w:r>
        <w:rPr>
          <w:rFonts w:hint="eastAsia" w:ascii="宋体" w:hAnsi="宋体" w:eastAsia="宋体" w:cs="宋体"/>
          <w:color w:val="000000"/>
          <w:sz w:val="28"/>
          <w:szCs w:val="28"/>
        </w:rPr>
        <w:t>单位：元</w:t>
      </w:r>
    </w:p>
    <w:tbl>
      <w:tblPr>
        <w:tblStyle w:val="33"/>
        <w:tblW w:w="9411" w:type="dxa"/>
        <w:jc w:val="center"/>
        <w:tblLayout w:type="fixed"/>
        <w:tblCellMar>
          <w:top w:w="0" w:type="dxa"/>
          <w:left w:w="57" w:type="dxa"/>
          <w:bottom w:w="0" w:type="dxa"/>
          <w:right w:w="57" w:type="dxa"/>
        </w:tblCellMar>
      </w:tblPr>
      <w:tblGrid>
        <w:gridCol w:w="812"/>
        <w:gridCol w:w="2191"/>
        <w:gridCol w:w="1995"/>
        <w:gridCol w:w="1103"/>
        <w:gridCol w:w="1103"/>
        <w:gridCol w:w="1103"/>
        <w:gridCol w:w="1104"/>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标的名称</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型号规格</w:t>
            </w: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数量</w:t>
            </w: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单价</w:t>
            </w: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总价</w:t>
            </w:r>
          </w:p>
        </w:tc>
        <w:tc>
          <w:tcPr>
            <w:tcW w:w="11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c>
          <w:tcPr>
            <w:tcW w:w="11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ind w:firstLine="0" w:firstLineChars="0"/>
              <w:jc w:val="center"/>
              <w:rPr>
                <w:rFonts w:hint="eastAsia" w:ascii="宋体" w:hAnsi="宋体" w:eastAsia="宋体" w:cs="宋体"/>
                <w:color w:val="000000"/>
                <w:sz w:val="28"/>
                <w:szCs w:val="28"/>
                <w:lang w:val="zh-CN"/>
              </w:rPr>
            </w:pPr>
          </w:p>
        </w:tc>
      </w:tr>
    </w:tbl>
    <w:p>
      <w:pPr>
        <w:autoSpaceDE w:val="0"/>
        <w:autoSpaceDN w:val="0"/>
        <w:spacing w:line="520" w:lineRule="exact"/>
        <w:ind w:firstLine="0" w:firstLineChars="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根据上述政府采购合同文件要求，本政府采购合同的总金额为人民币</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zh-CN"/>
        </w:rPr>
        <w:t>（大写）</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zh-CN"/>
        </w:rPr>
        <w:t>元。</w:t>
      </w:r>
    </w:p>
    <w:p>
      <w:pPr>
        <w:autoSpaceDE w:val="0"/>
        <w:autoSpaceDN w:val="0"/>
        <w:spacing w:line="520" w:lineRule="exact"/>
        <w:ind w:firstLine="560"/>
        <w:jc w:val="left"/>
        <w:rPr>
          <w:rFonts w:hint="eastAsia" w:ascii="宋体" w:hAnsi="宋体" w:eastAsia="宋体" w:cs="宋体"/>
          <w:b/>
          <w:color w:val="000000"/>
          <w:sz w:val="28"/>
          <w:szCs w:val="28"/>
        </w:rPr>
      </w:pPr>
      <w:r>
        <w:rPr>
          <w:rFonts w:hint="eastAsia" w:ascii="宋体" w:hAnsi="宋体" w:eastAsia="宋体" w:cs="宋体"/>
          <w:color w:val="000000"/>
          <w:sz w:val="28"/>
          <w:szCs w:val="28"/>
        </w:rPr>
        <w:t>本合同以人民币进行结算，合同总价包括：</w:t>
      </w:r>
      <w:r>
        <w:rPr>
          <w:rFonts w:hint="eastAsia" w:ascii="宋体" w:hAnsi="宋体" w:eastAsia="宋体" w:cs="宋体"/>
          <w:b/>
          <w:color w:val="000000"/>
          <w:sz w:val="28"/>
          <w:szCs w:val="28"/>
        </w:rPr>
        <w:t>产品费、验收费、手续费、包装费、运输费、保险费、安装费、调试费、培训费、售前、售中、售后服务费、成交服务费及不可预见费等全部费用。</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三、交货时间、交货地点和交货方式</w:t>
      </w:r>
    </w:p>
    <w:p>
      <w:pPr>
        <w:autoSpaceDE w:val="0"/>
        <w:autoSpaceDN w:val="0"/>
        <w:spacing w:line="520" w:lineRule="exact"/>
        <w:ind w:firstLine="56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1.交货时</w:t>
      </w:r>
      <w:r>
        <w:rPr>
          <w:rFonts w:hint="eastAsia" w:ascii="宋体" w:hAnsi="宋体" w:eastAsia="宋体" w:cs="宋体"/>
          <w:color w:val="000000" w:themeColor="text1"/>
          <w:sz w:val="28"/>
          <w:szCs w:val="28"/>
          <w:lang w:val="zh-CN"/>
          <w14:textFill>
            <w14:solidFill>
              <w14:schemeClr w14:val="tx1"/>
            </w14:solidFill>
          </w14:textFill>
        </w:rPr>
        <w:t>间：</w:t>
      </w:r>
      <w:r>
        <w:rPr>
          <w:rFonts w:hint="eastAsia" w:ascii="宋体" w:hAnsi="宋体" w:eastAsia="宋体" w:cs="宋体"/>
          <w:color w:val="000000"/>
          <w:sz w:val="28"/>
          <w:szCs w:val="28"/>
          <w:lang w:val="zh-CN"/>
        </w:rPr>
        <w:t>2024年3月—2024年10月</w:t>
      </w:r>
    </w:p>
    <w:p>
      <w:pPr>
        <w:autoSpaceDE w:val="0"/>
        <w:autoSpaceDN w:val="0"/>
        <w:spacing w:line="520" w:lineRule="exact"/>
        <w:ind w:firstLine="56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2.交货地点：</w:t>
      </w:r>
      <w:r>
        <w:rPr>
          <w:rFonts w:hint="eastAsia" w:ascii="宋体" w:hAnsi="宋体" w:eastAsia="宋体" w:cs="宋体"/>
          <w:color w:val="000000"/>
          <w:sz w:val="28"/>
          <w:szCs w:val="28"/>
        </w:rPr>
        <w:t>采购人指定地点</w:t>
      </w:r>
    </w:p>
    <w:p>
      <w:pPr>
        <w:autoSpaceDE w:val="0"/>
        <w:autoSpaceDN w:val="0"/>
        <w:spacing w:line="520" w:lineRule="exact"/>
        <w:ind w:firstLine="56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3.交货方式：现场交货</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四、付款方式</w:t>
      </w:r>
    </w:p>
    <w:p>
      <w:pPr>
        <w:autoSpaceDE w:val="0"/>
        <w:autoSpaceDN w:val="0"/>
        <w:spacing w:line="520" w:lineRule="exact"/>
        <w:ind w:firstLine="56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付款方式：</w:t>
      </w:r>
      <w:r>
        <w:rPr>
          <w:rFonts w:hint="eastAsia" w:ascii="宋体" w:hAnsi="宋体" w:cs="宋体"/>
          <w:color w:val="000000"/>
          <w:sz w:val="28"/>
          <w:szCs w:val="28"/>
          <w:u w:val="single"/>
          <w:lang w:val="en-US" w:eastAsia="zh-CN"/>
        </w:rPr>
        <w:t xml:space="preserve">                               。</w:t>
      </w:r>
    </w:p>
    <w:p>
      <w:pPr>
        <w:autoSpaceDE w:val="0"/>
        <w:autoSpaceDN w:val="0"/>
        <w:spacing w:line="520" w:lineRule="exact"/>
        <w:ind w:left="2" w:firstLine="424" w:firstLineChars="151"/>
        <w:jc w:val="left"/>
        <w:outlineLvl w:val="9"/>
        <w:rPr>
          <w:rFonts w:hint="eastAsia" w:ascii="宋体" w:hAnsi="宋体" w:eastAsia="宋体" w:cs="宋体"/>
          <w:color w:val="000000"/>
          <w:sz w:val="28"/>
          <w:szCs w:val="28"/>
          <w:u w:val="single"/>
        </w:rPr>
      </w:pPr>
      <w:r>
        <w:rPr>
          <w:rFonts w:hint="eastAsia" w:ascii="宋体" w:hAnsi="宋体" w:eastAsia="宋体" w:cs="宋体"/>
          <w:b/>
          <w:color w:val="000000"/>
          <w:sz w:val="28"/>
          <w:szCs w:val="28"/>
        </w:rPr>
        <w:t>五、货物的验收</w:t>
      </w:r>
    </w:p>
    <w:p>
      <w:pPr>
        <w:autoSpaceDE w:val="0"/>
        <w:autoSpaceDN w:val="0"/>
        <w:spacing w:line="520" w:lineRule="exact"/>
        <w:ind w:left="2" w:firstLine="422" w:firstLineChars="151"/>
        <w:jc w:val="left"/>
        <w:rPr>
          <w:rFonts w:hint="eastAsia" w:ascii="宋体" w:hAnsi="宋体" w:eastAsia="宋体" w:cs="宋体"/>
          <w:color w:val="000000"/>
          <w:sz w:val="28"/>
          <w:szCs w:val="28"/>
        </w:rPr>
      </w:pPr>
      <w:r>
        <w:rPr>
          <w:rFonts w:hint="eastAsia" w:ascii="宋体" w:hAnsi="宋体" w:eastAsia="宋体" w:cs="宋体"/>
          <w:color w:val="000000"/>
          <w:sz w:val="28"/>
          <w:szCs w:val="28"/>
        </w:rPr>
        <w:t>乙方提供的货物质量应完全符合本合同约定，否则甲方有权拒收或退货或解除合同。</w:t>
      </w:r>
    </w:p>
    <w:p>
      <w:pPr>
        <w:autoSpaceDE w:val="0"/>
        <w:autoSpaceDN w:val="0"/>
        <w:spacing w:line="520" w:lineRule="exact"/>
        <w:ind w:left="2" w:firstLine="424" w:firstLineChars="151"/>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六、货物质量保证与售后服务</w:t>
      </w:r>
    </w:p>
    <w:p>
      <w:pPr>
        <w:autoSpaceDE w:val="0"/>
        <w:autoSpaceDN w:val="0"/>
        <w:spacing w:line="520" w:lineRule="exact"/>
        <w:ind w:left="2" w:firstLine="422" w:firstLineChars="151"/>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1.乙方提供的货物应符合国家技术标准及规格要求；</w:t>
      </w:r>
    </w:p>
    <w:p>
      <w:pPr>
        <w:autoSpaceDE w:val="0"/>
        <w:autoSpaceDN w:val="0"/>
        <w:spacing w:line="520" w:lineRule="exact"/>
        <w:ind w:left="2" w:firstLine="422" w:firstLineChars="151"/>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2.乙方提供的货物应具备“三证”（生产许可证、产品出厂合格证、质量保证书）及货物说明书等资料； </w:t>
      </w:r>
    </w:p>
    <w:p>
      <w:pPr>
        <w:autoSpaceDE w:val="0"/>
        <w:autoSpaceDN w:val="0"/>
        <w:spacing w:line="520" w:lineRule="exact"/>
        <w:ind w:left="2" w:firstLine="422" w:firstLineChars="151"/>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3.乙方应保证货物是全新、未使用过的原装合格正品，并符合本条款（一）、（二）项及技术和性能的要求；</w:t>
      </w:r>
    </w:p>
    <w:p>
      <w:pPr>
        <w:autoSpaceDE w:val="0"/>
        <w:autoSpaceDN w:val="0"/>
        <w:spacing w:line="520" w:lineRule="exact"/>
        <w:ind w:left="2"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4.乙方在质保期限范围内对货物（设备）维修、维护；</w:t>
      </w:r>
    </w:p>
    <w:p>
      <w:pPr>
        <w:autoSpaceDE w:val="0"/>
        <w:autoSpaceDN w:val="0"/>
        <w:spacing w:line="520" w:lineRule="exact"/>
        <w:ind w:left="2"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5.售后服务：</w:t>
      </w:r>
    </w:p>
    <w:p>
      <w:pPr>
        <w:autoSpaceDE w:val="0"/>
        <w:autoSpaceDN w:val="0"/>
        <w:spacing w:line="520" w:lineRule="exact"/>
        <w:ind w:left="2"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（1）质量保证（保修）期限</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autoSpaceDE w:val="0"/>
        <w:autoSpaceDN w:val="0"/>
        <w:spacing w:line="520" w:lineRule="exact"/>
        <w:ind w:left="2"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（2）质量保证（保修）范围</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autoSpaceDE w:val="0"/>
        <w:autoSpaceDN w:val="0"/>
        <w:spacing w:line="520" w:lineRule="exact"/>
        <w:ind w:left="2"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6.在乙方承诺的或国家规定的质量保证（保修）期内，经乙方次维修或更换，货物质量问题仍然无法解决，甲方有权退货，乙方应退回全部货款并承担由此给甲方造成的损失；</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7.甲方对乙方提供的货物不满意的，甲方有权在日内要求乙方退货。</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七、合同的变更、终止与转让</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1.除《中华人民共和国政府采购法》第50条规定的情形外，本合同一经签订，甲乙双方不得擅自变更、中止或终止。</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2.乙方不得擅自转让其应履行的合同义务。</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八、违约责任</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2.乙方提供的货物如侵犯了第三方权益而引发纠纷或诉讼的，均由乙方负责交涉并承担全部责任。</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3.因包装、运输引起的货物损坏，按质量不合格处罚。</w:t>
      </w:r>
    </w:p>
    <w:p>
      <w:pPr>
        <w:autoSpaceDE w:val="0"/>
        <w:autoSpaceDN w:val="0"/>
        <w:spacing w:line="520" w:lineRule="exact"/>
        <w:ind w:left="1" w:firstLine="495" w:firstLineChars="177"/>
        <w:jc w:val="left"/>
        <w:rPr>
          <w:rFonts w:hint="eastAsia" w:ascii="宋体" w:hAnsi="宋体" w:eastAsia="宋体" w:cs="宋体"/>
          <w:color w:val="000000"/>
          <w:sz w:val="28"/>
          <w:szCs w:val="28"/>
        </w:rPr>
      </w:pPr>
      <w:r>
        <w:rPr>
          <w:rFonts w:hint="eastAsia" w:ascii="宋体" w:hAnsi="宋体" w:eastAsia="宋体" w:cs="宋体"/>
          <w:color w:val="000000"/>
          <w:sz w:val="28"/>
          <w:szCs w:val="28"/>
        </w:rPr>
        <w:t>4.甲方无故延期接受货物和乙方逾期交货的，每天应向对方偿付未交货物的货款的违约金，但违约金累计不得超过违约货款的5%，超过天对方有权解除合同，违约方承担因此给对方造成的经济损失。</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5.乙方未按本合同和响应文件中规定的服务承诺提供售后服务的，乙方应按本合同合计金额的5%向甲方支付违约金。</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6.乙方提供的货物在免费质保期内，因设计、工艺或材料的缺陷和其它质量原因造成的问题，由乙方负责，费用从合同款中扣除，不足另补。</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7.其它违约行为按违约货款额5%收取违约金并赔偿经济损失。</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九、不可抗力</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1.不可抗力使合同的某些内容有变更必要的，双方应通过协商在天内达成进一步履行合同的协议，因不可抗力致使合同不能履行的，合同终止。</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2.除法律、法规规定的不可抗力情形外，双方约定出现非人为情况亦视为不可抗力。</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十、其他约定：</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十一、合同争议解决</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1.因产品质量问题发生争议的，应邀请国家认可的质量检测机构进行鉴定。产品符合标准的，鉴定费由甲方承担；产品不符合标准的，鉴定费由乙方承担。</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2.因履行本合同引起的或与本合同有关的争议，甲乙双方应首先通过友好协商解决，如果协商不能解决，可向甲方所在地人民法院提起诉讼。</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3.诉讼期间，本合同继续履行。</w:t>
      </w:r>
    </w:p>
    <w:p>
      <w:pPr>
        <w:autoSpaceDE w:val="0"/>
        <w:autoSpaceDN w:val="0"/>
        <w:spacing w:line="520" w:lineRule="exact"/>
        <w:ind w:firstLine="562"/>
        <w:jc w:val="left"/>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十二、合同生效及其它：</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1.本合同一式</w:t>
      </w:r>
      <w:r>
        <w:rPr>
          <w:rFonts w:hint="eastAsia" w:ascii="宋体" w:hAnsi="宋体" w:eastAsia="宋体" w:cs="宋体"/>
          <w:color w:val="000000"/>
          <w:sz w:val="28"/>
          <w:szCs w:val="28"/>
          <w:lang w:val="en-US" w:eastAsia="zh-CN"/>
        </w:rPr>
        <w:t>伍</w:t>
      </w:r>
      <w:r>
        <w:rPr>
          <w:rFonts w:hint="eastAsia" w:ascii="宋体" w:hAnsi="宋体" w:eastAsia="宋体" w:cs="宋体"/>
          <w:color w:val="000000"/>
          <w:sz w:val="28"/>
          <w:szCs w:val="28"/>
        </w:rPr>
        <w:t>份，经双方签字，并加盖公章即为生效。</w:t>
      </w:r>
    </w:p>
    <w:p>
      <w:pPr>
        <w:autoSpaceDE w:val="0"/>
        <w:autoSpaceDN w:val="0"/>
        <w:spacing w:line="520" w:lineRule="exact"/>
        <w:ind w:firstLine="560"/>
        <w:jc w:val="left"/>
        <w:rPr>
          <w:rFonts w:hint="eastAsia" w:ascii="宋体" w:hAnsi="宋体" w:eastAsia="宋体" w:cs="宋体"/>
          <w:color w:val="000000"/>
          <w:sz w:val="28"/>
          <w:szCs w:val="28"/>
        </w:rPr>
      </w:pPr>
      <w:r>
        <w:rPr>
          <w:rFonts w:hint="eastAsia" w:ascii="宋体" w:hAnsi="宋体" w:eastAsia="宋体" w:cs="宋体"/>
          <w:color w:val="000000"/>
          <w:sz w:val="28"/>
          <w:szCs w:val="28"/>
        </w:rPr>
        <w:t>2.本合同未尽事宜，按《中华人民共和国民法典》有关规定处理。</w:t>
      </w:r>
    </w:p>
    <w:p>
      <w:pPr>
        <w:autoSpaceDE w:val="0"/>
        <w:autoSpaceDN w:val="0"/>
        <w:spacing w:line="520" w:lineRule="exact"/>
        <w:ind w:firstLine="560"/>
        <w:jc w:val="left"/>
        <w:rPr>
          <w:rFonts w:hint="eastAsia" w:ascii="宋体" w:hAnsi="宋体" w:eastAsia="宋体" w:cs="宋体"/>
          <w:color w:val="000000"/>
          <w:sz w:val="28"/>
          <w:szCs w:val="28"/>
        </w:rPr>
      </w:pP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甲方（盖章）：                         乙方（盖章）：</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地址：                                 地址：</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               法定代表人或委托代理人：</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经办人：                               经办人：</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联系电话：                             开户银行：</w:t>
      </w:r>
    </w:p>
    <w:p>
      <w:pPr>
        <w:autoSpaceDE w:val="0"/>
        <w:autoSpaceDN w:val="0"/>
        <w:spacing w:line="520" w:lineRule="exact"/>
        <w:ind w:firstLine="5460" w:firstLineChars="1950"/>
        <w:rPr>
          <w:rFonts w:hint="eastAsia" w:ascii="宋体" w:hAnsi="宋体" w:eastAsia="宋体" w:cs="宋体"/>
          <w:color w:val="000000"/>
          <w:sz w:val="28"/>
          <w:szCs w:val="28"/>
        </w:rPr>
      </w:pPr>
      <w:r>
        <w:rPr>
          <w:rFonts w:hint="eastAsia" w:ascii="宋体" w:hAnsi="宋体" w:eastAsia="宋体" w:cs="宋体"/>
          <w:color w:val="000000"/>
          <w:sz w:val="28"/>
          <w:szCs w:val="28"/>
        </w:rPr>
        <w:t>账号：</w:t>
      </w:r>
    </w:p>
    <w:p>
      <w:pPr>
        <w:autoSpaceDE w:val="0"/>
        <w:autoSpaceDN w:val="0"/>
        <w:spacing w:line="520" w:lineRule="exact"/>
        <w:ind w:firstLine="5460" w:firstLineChars="195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p>
    <w:p>
      <w:pPr>
        <w:autoSpaceDE w:val="0"/>
        <w:autoSpaceDN w:val="0"/>
        <w:spacing w:line="520" w:lineRule="exact"/>
        <w:ind w:firstLine="0" w:firstLineChars="0"/>
        <w:rPr>
          <w:rFonts w:hint="eastAsia" w:ascii="宋体" w:hAnsi="宋体" w:eastAsia="宋体" w:cs="宋体"/>
          <w:color w:val="000000"/>
          <w:sz w:val="28"/>
          <w:szCs w:val="28"/>
        </w:rPr>
      </w:pPr>
    </w:p>
    <w:p>
      <w:pPr>
        <w:autoSpaceDE w:val="0"/>
        <w:autoSpaceDN w:val="0"/>
        <w:spacing w:line="520" w:lineRule="exact"/>
        <w:ind w:firstLine="1540" w:firstLineChars="55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                            签约时间：  年  月  日</w:t>
      </w:r>
    </w:p>
    <w:p>
      <w:pPr>
        <w:autoSpaceDE w:val="0"/>
        <w:autoSpaceDN w:val="0"/>
        <w:spacing w:line="520" w:lineRule="exact"/>
        <w:ind w:firstLine="1540" w:firstLineChars="550"/>
        <w:rPr>
          <w:rFonts w:hint="eastAsia" w:ascii="宋体" w:hAnsi="宋体" w:eastAsia="宋体" w:cs="宋体"/>
          <w:color w:val="000000"/>
          <w:sz w:val="28"/>
          <w:szCs w:val="28"/>
          <w:lang w:val="zh-CN"/>
        </w:rPr>
      </w:pPr>
    </w:p>
    <w:p>
      <w:pPr>
        <w:autoSpaceDE w:val="0"/>
        <w:autoSpaceDN w:val="0"/>
        <w:spacing w:line="520" w:lineRule="exact"/>
        <w:ind w:firstLine="0" w:firstLineChars="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合同备案部门：</w:t>
      </w:r>
    </w:p>
    <w:p>
      <w:pPr>
        <w:autoSpaceDE w:val="0"/>
        <w:autoSpaceDN w:val="0"/>
        <w:spacing w:line="52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lang w:val="zh-CN"/>
        </w:rPr>
        <w:t>采购代理机构：</w:t>
      </w:r>
      <w:r>
        <w:rPr>
          <w:rFonts w:hint="eastAsia" w:ascii="宋体" w:hAnsi="宋体" w:eastAsia="宋体" w:cs="宋体"/>
          <w:color w:val="000000"/>
          <w:sz w:val="28"/>
          <w:szCs w:val="28"/>
        </w:rPr>
        <w:t>青海</w:t>
      </w:r>
      <w:r>
        <w:rPr>
          <w:rFonts w:hint="eastAsia" w:ascii="宋体" w:hAnsi="宋体" w:eastAsia="宋体" w:cs="宋体"/>
          <w:color w:val="000000"/>
          <w:sz w:val="28"/>
          <w:szCs w:val="28"/>
          <w:lang w:val="en-US" w:eastAsia="zh-CN"/>
        </w:rPr>
        <w:t>世瀚工程项目管理</w:t>
      </w:r>
      <w:r>
        <w:rPr>
          <w:rFonts w:hint="eastAsia" w:ascii="宋体" w:hAnsi="宋体" w:eastAsia="宋体" w:cs="宋体"/>
          <w:color w:val="000000"/>
          <w:sz w:val="28"/>
          <w:szCs w:val="28"/>
        </w:rPr>
        <w:t>有限公司</w:t>
      </w:r>
    </w:p>
    <w:p>
      <w:pPr>
        <w:autoSpaceDE w:val="0"/>
        <w:autoSpaceDN w:val="0"/>
        <w:spacing w:line="520" w:lineRule="exact"/>
        <w:ind w:firstLine="0" w:firstLineChars="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负责人或经办人：</w:t>
      </w:r>
    </w:p>
    <w:p>
      <w:pPr>
        <w:autoSpaceDE w:val="0"/>
        <w:autoSpaceDN w:val="0"/>
        <w:spacing w:line="520" w:lineRule="exact"/>
        <w:ind w:firstLine="0" w:firstLineChars="0"/>
        <w:jc w:val="center"/>
        <w:rPr>
          <w:rFonts w:hint="eastAsia" w:ascii="宋体" w:hAnsi="宋体" w:eastAsia="宋体" w:cs="宋体"/>
          <w:color w:val="000000"/>
          <w:sz w:val="24"/>
          <w:szCs w:val="24"/>
          <w:lang w:val="zh-CN"/>
        </w:rPr>
      </w:pPr>
      <w:r>
        <w:rPr>
          <w:rFonts w:hint="eastAsia" w:ascii="宋体" w:hAnsi="宋体" w:eastAsia="宋体" w:cs="宋体"/>
          <w:color w:val="000000"/>
          <w:sz w:val="28"/>
          <w:szCs w:val="28"/>
          <w:lang w:val="zh-CN"/>
        </w:rPr>
        <w:t xml:space="preserve">                             合同备案时间：   年   月   日</w:t>
      </w:r>
    </w:p>
    <w:p>
      <w:pPr>
        <w:rPr>
          <w:rFonts w:ascii="宋体" w:hAnsi="宋体" w:cs="宋体"/>
          <w:kern w:val="0"/>
          <w:sz w:val="24"/>
          <w:szCs w:val="24"/>
          <w:lang w:val="zh-CN"/>
        </w:rPr>
      </w:pPr>
      <w:r>
        <w:rPr>
          <w:rFonts w:ascii="宋体" w:hAnsi="宋体" w:cs="宋体"/>
          <w:kern w:val="0"/>
          <w:sz w:val="24"/>
          <w:szCs w:val="24"/>
          <w:lang w:val="zh-CN"/>
        </w:rPr>
        <w:br w:type="page"/>
      </w:r>
    </w:p>
    <w:p>
      <w:pPr>
        <w:pStyle w:val="23"/>
        <w:spacing w:before="0" w:after="0" w:line="360" w:lineRule="auto"/>
        <w:jc w:val="center"/>
        <w:outlineLvl w:val="0"/>
        <w:rPr>
          <w:rFonts w:ascii="宋体" w:hAnsi="宋体"/>
          <w:sz w:val="48"/>
          <w:szCs w:val="48"/>
        </w:rPr>
      </w:pPr>
      <w:bookmarkStart w:id="80" w:name="_Toc13268"/>
      <w:bookmarkStart w:id="81" w:name="_Toc30669"/>
      <w:r>
        <w:rPr>
          <w:rFonts w:hint="eastAsia" w:ascii="宋体" w:hAnsi="宋体"/>
          <w:sz w:val="48"/>
          <w:szCs w:val="48"/>
        </w:rPr>
        <w:t>第五部分  磋商响应文件格式</w:t>
      </w:r>
      <w:bookmarkEnd w:id="80"/>
      <w:bookmarkEnd w:id="81"/>
    </w:p>
    <w:p>
      <w:pPr>
        <w:spacing w:line="360" w:lineRule="auto"/>
        <w:outlineLvl w:val="9"/>
        <w:rPr>
          <w:rFonts w:ascii="宋体" w:hAnsi="宋体"/>
          <w:sz w:val="24"/>
        </w:rPr>
      </w:pPr>
    </w:p>
    <w:p>
      <w:pPr>
        <w:spacing w:line="360" w:lineRule="auto"/>
        <w:ind w:firstLine="630" w:firstLineChars="224"/>
        <w:jc w:val="center"/>
        <w:outlineLvl w:val="9"/>
        <w:rPr>
          <w:rFonts w:ascii="宋体" w:hAnsi="宋体" w:cs="宋体"/>
          <w:b/>
          <w:bCs/>
          <w:kern w:val="0"/>
          <w:sz w:val="24"/>
          <w:lang w:val="zh-CN"/>
        </w:rPr>
      </w:pPr>
      <w:r>
        <w:rPr>
          <w:rFonts w:hint="eastAsia" w:ascii="宋体" w:hAnsi="宋体" w:cs="宋体"/>
          <w:b/>
          <w:bCs/>
          <w:kern w:val="0"/>
          <w:sz w:val="28"/>
          <w:szCs w:val="28"/>
          <w:lang w:val="zh-CN"/>
        </w:rPr>
        <w:t>供应商应严格按照本格式要求编制响应文件</w:t>
      </w:r>
      <w:r>
        <w:rPr>
          <w:rFonts w:hint="eastAsia" w:ascii="宋体" w:hAnsi="宋体" w:cs="宋体"/>
          <w:b/>
          <w:bCs/>
          <w:kern w:val="0"/>
          <w:sz w:val="24"/>
          <w:lang w:val="zh-CN"/>
        </w:rPr>
        <w:t>。</w:t>
      </w:r>
    </w:p>
    <w:p>
      <w:pPr>
        <w:spacing w:line="360" w:lineRule="auto"/>
        <w:outlineLvl w:val="9"/>
        <w:rPr>
          <w:rFonts w:ascii="宋体" w:hAnsi="宋体"/>
          <w:b/>
          <w:sz w:val="24"/>
          <w:lang w:val="zh-CN"/>
        </w:rPr>
      </w:pPr>
      <w:r>
        <w:rPr>
          <w:rFonts w:ascii="宋体" w:hAnsi="宋体" w:cs="宋体"/>
          <w:kern w:val="0"/>
          <w:sz w:val="24"/>
          <w:lang w:val="zh-CN"/>
        </w:rPr>
        <w:br w:type="page"/>
      </w:r>
    </w:p>
    <w:p>
      <w:pPr>
        <w:numPr>
          <w:ilvl w:val="0"/>
          <w:numId w:val="0"/>
        </w:numPr>
        <w:tabs>
          <w:tab w:val="left" w:pos="425"/>
          <w:tab w:val="left" w:pos="720"/>
          <w:tab w:val="left" w:pos="1985"/>
          <w:tab w:val="left" w:pos="7088"/>
        </w:tabs>
        <w:ind w:left="709" w:hanging="709"/>
        <w:outlineLvl w:val="9"/>
        <w:rPr>
          <w:rFonts w:hAnsi="宋体"/>
          <w:sz w:val="24"/>
          <w:szCs w:val="24"/>
          <w:lang w:val="zh-CN"/>
        </w:rPr>
      </w:pPr>
      <w:r>
        <w:rPr>
          <w:rFonts w:hint="eastAsia" w:hAnsi="宋体"/>
          <w:b/>
          <w:sz w:val="24"/>
          <w:szCs w:val="24"/>
          <w:lang w:val="zh-CN"/>
        </w:rPr>
        <w:t>响应文件封面</w:t>
      </w:r>
    </w:p>
    <w:p>
      <w:pPr>
        <w:spacing w:line="360" w:lineRule="auto"/>
        <w:jc w:val="right"/>
        <w:outlineLvl w:val="9"/>
        <w:rPr>
          <w:rFonts w:ascii="宋体" w:hAnsi="宋体"/>
          <w:sz w:val="24"/>
        </w:rPr>
      </w:pPr>
    </w:p>
    <w:p>
      <w:pPr>
        <w:spacing w:line="360" w:lineRule="auto"/>
        <w:outlineLvl w:val="9"/>
        <w:rPr>
          <w:rFonts w:ascii="宋体" w:hAnsi="宋体"/>
          <w:sz w:val="24"/>
        </w:rPr>
      </w:pPr>
    </w:p>
    <w:p>
      <w:pPr>
        <w:spacing w:line="360" w:lineRule="auto"/>
        <w:outlineLvl w:val="9"/>
        <w:rPr>
          <w:rFonts w:ascii="宋体" w:hAnsi="宋体"/>
          <w:sz w:val="24"/>
        </w:rPr>
      </w:pPr>
    </w:p>
    <w:p>
      <w:pPr>
        <w:spacing w:line="360" w:lineRule="auto"/>
        <w:jc w:val="center"/>
        <w:outlineLvl w:val="9"/>
        <w:rPr>
          <w:rFonts w:ascii="宋体" w:hAnsi="宋体"/>
          <w:b/>
          <w:sz w:val="72"/>
          <w:szCs w:val="72"/>
        </w:rPr>
      </w:pPr>
      <w:r>
        <w:rPr>
          <w:rFonts w:hint="eastAsia" w:ascii="宋体" w:hAnsi="宋体"/>
          <w:b/>
          <w:sz w:val="72"/>
          <w:szCs w:val="72"/>
        </w:rPr>
        <w:t>青海省政府采购项目</w:t>
      </w:r>
    </w:p>
    <w:p>
      <w:pPr>
        <w:spacing w:line="360" w:lineRule="auto"/>
        <w:jc w:val="center"/>
        <w:outlineLvl w:val="9"/>
        <w:rPr>
          <w:rFonts w:ascii="宋体" w:hAnsi="宋体"/>
          <w:b/>
          <w:sz w:val="72"/>
          <w:szCs w:val="72"/>
        </w:rPr>
      </w:pPr>
    </w:p>
    <w:p>
      <w:pPr>
        <w:spacing w:line="360" w:lineRule="auto"/>
        <w:jc w:val="center"/>
        <w:outlineLvl w:val="9"/>
        <w:rPr>
          <w:rFonts w:ascii="宋体" w:hAnsi="宋体"/>
          <w:b/>
          <w:sz w:val="72"/>
          <w:szCs w:val="72"/>
        </w:rPr>
      </w:pPr>
    </w:p>
    <w:p>
      <w:pPr>
        <w:spacing w:line="360" w:lineRule="auto"/>
        <w:jc w:val="center"/>
        <w:outlineLvl w:val="9"/>
        <w:rPr>
          <w:rFonts w:ascii="宋体" w:hAnsi="宋体"/>
          <w:b/>
          <w:sz w:val="72"/>
          <w:szCs w:val="72"/>
        </w:rPr>
      </w:pPr>
      <w:r>
        <w:rPr>
          <w:rFonts w:hint="eastAsia" w:ascii="宋体" w:hAnsi="宋体"/>
          <w:b/>
          <w:sz w:val="72"/>
          <w:szCs w:val="72"/>
        </w:rPr>
        <w:t>响应文件</w:t>
      </w:r>
    </w:p>
    <w:p>
      <w:pPr>
        <w:adjustRightInd w:val="0"/>
        <w:spacing w:line="360" w:lineRule="auto"/>
        <w:textAlignment w:val="baseline"/>
        <w:outlineLvl w:val="9"/>
        <w:rPr>
          <w:rFonts w:ascii="宋体" w:hAnsi="宋体"/>
          <w:b/>
          <w:bCs/>
          <w:sz w:val="24"/>
        </w:rPr>
      </w:pPr>
    </w:p>
    <w:p>
      <w:pPr>
        <w:adjustRightInd w:val="0"/>
        <w:spacing w:line="360" w:lineRule="auto"/>
        <w:textAlignment w:val="baseline"/>
        <w:outlineLvl w:val="9"/>
        <w:rPr>
          <w:rFonts w:ascii="宋体" w:hAnsi="宋体"/>
          <w:b/>
          <w:bCs/>
          <w:sz w:val="24"/>
        </w:rPr>
      </w:pPr>
    </w:p>
    <w:p>
      <w:pPr>
        <w:adjustRightInd w:val="0"/>
        <w:spacing w:line="360" w:lineRule="auto"/>
        <w:textAlignment w:val="baseline"/>
        <w:outlineLvl w:val="9"/>
        <w:rPr>
          <w:rFonts w:ascii="宋体" w:hAnsi="宋体"/>
          <w:b/>
          <w:bCs/>
          <w:sz w:val="24"/>
        </w:rPr>
      </w:pPr>
    </w:p>
    <w:p>
      <w:pPr>
        <w:adjustRightInd w:val="0"/>
        <w:spacing w:line="360" w:lineRule="auto"/>
        <w:ind w:firstLine="643" w:firstLineChars="200"/>
        <w:textAlignment w:val="baseline"/>
        <w:outlineLvl w:val="9"/>
        <w:rPr>
          <w:rFonts w:ascii="宋体" w:hAnsi="宋体"/>
          <w:b/>
          <w:bCs/>
          <w:sz w:val="32"/>
          <w:szCs w:val="32"/>
          <w:u w:val="single"/>
        </w:rPr>
      </w:pPr>
      <w:r>
        <w:rPr>
          <w:rFonts w:hint="eastAsia" w:ascii="宋体" w:hAnsi="宋体"/>
          <w:b/>
          <w:bCs/>
          <w:sz w:val="32"/>
          <w:szCs w:val="32"/>
        </w:rPr>
        <w:t>采购项目编号</w:t>
      </w:r>
      <w:r>
        <w:rPr>
          <w:rFonts w:hint="eastAsia" w:ascii="宋体" w:hAnsi="宋体"/>
          <w:sz w:val="32"/>
          <w:szCs w:val="32"/>
        </w:rPr>
        <w:t>：</w:t>
      </w:r>
      <w:r>
        <w:rPr>
          <w:rFonts w:hint="eastAsia" w:ascii="宋体" w:hAnsi="宋体"/>
          <w:sz w:val="32"/>
          <w:szCs w:val="32"/>
          <w:u w:val="single"/>
        </w:rPr>
        <w:t xml:space="preserve">                           </w:t>
      </w:r>
    </w:p>
    <w:p>
      <w:pPr>
        <w:adjustRightInd w:val="0"/>
        <w:spacing w:line="360" w:lineRule="auto"/>
        <w:ind w:firstLine="643" w:firstLineChars="200"/>
        <w:textAlignment w:val="baseline"/>
        <w:outlineLvl w:val="9"/>
        <w:rPr>
          <w:rFonts w:ascii="宋体" w:hAnsi="宋体"/>
          <w:b/>
          <w:bCs/>
          <w:sz w:val="32"/>
          <w:szCs w:val="32"/>
          <w:u w:val="single"/>
        </w:rPr>
      </w:pPr>
      <w:r>
        <w:rPr>
          <w:rFonts w:ascii="宋体" w:hAnsi="宋体"/>
          <w:b/>
          <w:bCs/>
          <w:sz w:val="32"/>
          <w:szCs w:val="32"/>
        </w:rPr>
        <w:t>采购项目名称</w:t>
      </w:r>
      <w:r>
        <w:rPr>
          <w:rFonts w:hint="eastAsia" w:ascii="宋体" w:hAnsi="宋体"/>
          <w:b/>
          <w:bCs/>
          <w:sz w:val="32"/>
          <w:szCs w:val="32"/>
        </w:rPr>
        <w:t>：</w:t>
      </w:r>
      <w:r>
        <w:rPr>
          <w:rFonts w:hint="eastAsia" w:ascii="宋体" w:hAnsi="宋体"/>
          <w:b/>
          <w:bCs/>
          <w:sz w:val="32"/>
          <w:szCs w:val="32"/>
          <w:u w:val="single"/>
        </w:rPr>
        <w:t xml:space="preserve">                           </w:t>
      </w:r>
    </w:p>
    <w:p>
      <w:pPr>
        <w:adjustRightInd w:val="0"/>
        <w:spacing w:line="360" w:lineRule="auto"/>
        <w:ind w:firstLine="643" w:firstLineChars="200"/>
        <w:textAlignment w:val="baseline"/>
        <w:outlineLvl w:val="9"/>
        <w:rPr>
          <w:rFonts w:ascii="宋体" w:hAnsi="宋体"/>
          <w:b/>
          <w:bCs/>
          <w:sz w:val="32"/>
          <w:szCs w:val="32"/>
          <w:u w:val="single"/>
        </w:rPr>
      </w:pPr>
      <w:r>
        <w:rPr>
          <w:rFonts w:hint="eastAsia" w:ascii="宋体" w:hAnsi="宋体"/>
          <w:b/>
          <w:bCs/>
          <w:sz w:val="32"/>
          <w:szCs w:val="32"/>
        </w:rPr>
        <w:t>供应商</w:t>
      </w:r>
      <w:r>
        <w:rPr>
          <w:rFonts w:hint="eastAsia" w:ascii="宋体" w:hAnsi="宋体"/>
          <w:b/>
          <w:bCs/>
          <w:sz w:val="32"/>
          <w:szCs w:val="32"/>
          <w:lang w:val="en-US" w:eastAsia="zh-CN"/>
        </w:rPr>
        <w:t>名称</w:t>
      </w:r>
      <w:r>
        <w:rPr>
          <w:rFonts w:hint="eastAsia" w:ascii="宋体" w:hAnsi="宋体"/>
          <w:b/>
          <w:sz w:val="32"/>
          <w:szCs w:val="32"/>
        </w:rPr>
        <w:t>：</w:t>
      </w:r>
      <w:r>
        <w:rPr>
          <w:rFonts w:hint="eastAsia" w:ascii="宋体" w:hAnsi="宋体"/>
          <w:b/>
          <w:sz w:val="32"/>
          <w:szCs w:val="32"/>
          <w:u w:val="single"/>
        </w:rPr>
        <w:t xml:space="preserve">                     （公章）</w:t>
      </w:r>
    </w:p>
    <w:p>
      <w:pPr>
        <w:adjustRightInd w:val="0"/>
        <w:spacing w:line="360" w:lineRule="auto"/>
        <w:ind w:firstLine="643" w:firstLineChars="200"/>
        <w:textAlignment w:val="baseline"/>
        <w:outlineLvl w:val="9"/>
        <w:rPr>
          <w:rFonts w:hint="default" w:ascii="宋体" w:hAnsi="宋体" w:eastAsia="宋体"/>
          <w:b/>
          <w:sz w:val="32"/>
          <w:szCs w:val="32"/>
          <w:u w:val="single"/>
          <w:lang w:val="en-US" w:eastAsia="zh-CN"/>
        </w:rPr>
      </w:pPr>
      <w:r>
        <w:rPr>
          <w:rFonts w:hint="eastAsia" w:ascii="宋体" w:hAnsi="宋体"/>
          <w:b/>
          <w:sz w:val="32"/>
          <w:szCs w:val="32"/>
        </w:rPr>
        <w:t>法定代表人：</w:t>
      </w:r>
      <w:r>
        <w:rPr>
          <w:rFonts w:hint="eastAsia" w:ascii="宋体" w:hAnsi="宋体"/>
          <w:b/>
          <w:sz w:val="32"/>
          <w:szCs w:val="32"/>
          <w:u w:val="single"/>
        </w:rPr>
        <w:t xml:space="preserve">        （签字或盖章）</w:t>
      </w:r>
      <w:r>
        <w:rPr>
          <w:rFonts w:hint="eastAsia" w:ascii="宋体" w:hAnsi="宋体"/>
          <w:b/>
          <w:sz w:val="32"/>
          <w:szCs w:val="32"/>
          <w:u w:val="single"/>
          <w:lang w:val="en-US" w:eastAsia="zh-CN"/>
        </w:rPr>
        <w:t xml:space="preserve">       </w:t>
      </w:r>
    </w:p>
    <w:p>
      <w:pPr>
        <w:adjustRightInd w:val="0"/>
        <w:spacing w:line="360" w:lineRule="auto"/>
        <w:ind w:firstLine="643" w:firstLineChars="200"/>
        <w:textAlignment w:val="baseline"/>
        <w:outlineLvl w:val="9"/>
        <w:rPr>
          <w:rFonts w:ascii="宋体" w:hAnsi="宋体"/>
          <w:b/>
          <w:sz w:val="32"/>
          <w:szCs w:val="32"/>
          <w:u w:val="single"/>
        </w:rPr>
      </w:pPr>
    </w:p>
    <w:p>
      <w:pPr>
        <w:adjustRightInd w:val="0"/>
        <w:spacing w:line="360" w:lineRule="auto"/>
        <w:ind w:firstLine="643" w:firstLineChars="200"/>
        <w:jc w:val="center"/>
        <w:textAlignment w:val="baseline"/>
        <w:outlineLvl w:val="9"/>
        <w:rPr>
          <w:rFonts w:hint="eastAsia" w:ascii="宋体" w:hAnsi="宋体"/>
          <w:b/>
          <w:sz w:val="32"/>
          <w:szCs w:val="32"/>
          <w:u w:val="none"/>
        </w:rPr>
      </w:pPr>
      <w:r>
        <w:rPr>
          <w:rFonts w:hint="eastAsia" w:ascii="宋体" w:hAnsi="宋体"/>
          <w:b/>
          <w:sz w:val="32"/>
          <w:szCs w:val="32"/>
          <w:u w:val="none"/>
        </w:rPr>
        <w:t>年   月  日</w:t>
      </w:r>
      <w:bookmarkStart w:id="82" w:name="_Toc444715735"/>
    </w:p>
    <w:p>
      <w:pPr>
        <w:numPr>
          <w:ilvl w:val="0"/>
          <w:numId w:val="0"/>
        </w:numPr>
        <w:tabs>
          <w:tab w:val="left" w:pos="425"/>
          <w:tab w:val="left" w:pos="720"/>
          <w:tab w:val="left" w:pos="1985"/>
          <w:tab w:val="left" w:pos="7088"/>
        </w:tabs>
        <w:ind w:left="709" w:hanging="709"/>
        <w:outlineLvl w:val="9"/>
        <w:rPr>
          <w:rFonts w:hAnsi="宋体"/>
          <w:b/>
          <w:sz w:val="24"/>
          <w:szCs w:val="24"/>
          <w:lang w:val="zh-CN"/>
        </w:rPr>
      </w:pPr>
      <w:r>
        <w:rPr>
          <w:rFonts w:hAnsi="宋体"/>
          <w:sz w:val="24"/>
          <w:szCs w:val="24"/>
        </w:rPr>
        <w:br w:type="page"/>
      </w:r>
      <w:r>
        <w:rPr>
          <w:rFonts w:hint="eastAsia" w:hAnsi="宋体"/>
          <w:b/>
          <w:sz w:val="24"/>
          <w:szCs w:val="24"/>
          <w:lang w:val="zh-CN"/>
        </w:rPr>
        <w:t>响应文件目录</w:t>
      </w:r>
      <w:bookmarkEnd w:id="82"/>
    </w:p>
    <w:p>
      <w:pPr>
        <w:autoSpaceDE w:val="0"/>
        <w:autoSpaceDN w:val="0"/>
        <w:spacing w:line="360" w:lineRule="auto"/>
        <w:jc w:val="center"/>
        <w:outlineLvl w:val="9"/>
        <w:rPr>
          <w:rFonts w:hint="eastAsia" w:ascii="宋体" w:hAnsi="宋体" w:cs="宋体"/>
          <w:kern w:val="0"/>
          <w:sz w:val="24"/>
          <w:lang w:val="zh-CN"/>
        </w:rPr>
      </w:pP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磋商</w:t>
      </w:r>
      <w:r>
        <w:rPr>
          <w:rFonts w:hint="eastAsia" w:ascii="宋体" w:hAnsi="宋体" w:cs="宋体"/>
          <w:kern w:val="0"/>
          <w:sz w:val="24"/>
          <w:lang w:val="zh-CN"/>
        </w:rPr>
        <w:t>函……………………………………………………………所在页码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）法定代表人证明书………………………………………………所在页码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）法定代表人授权书………………………………………………所在页码</w:t>
      </w:r>
    </w:p>
    <w:p>
      <w:pPr>
        <w:autoSpaceDE w:val="0"/>
        <w:autoSpaceDN w:val="0"/>
        <w:spacing w:line="360" w:lineRule="auto"/>
        <w:ind w:firstLine="960" w:firstLineChars="400"/>
        <w:jc w:val="both"/>
        <w:outlineLvl w:val="9"/>
        <w:rPr>
          <w:rFonts w:ascii="宋体" w:hAnsi="宋体" w:cs="宋体"/>
          <w:kern w:val="0"/>
          <w:sz w:val="24"/>
          <w:lang w:val="zh-CN"/>
        </w:rPr>
      </w:pPr>
      <w:r>
        <w:rPr>
          <w:rFonts w:hint="eastAsia" w:ascii="宋体" w:hAnsi="宋体" w:cs="宋体"/>
          <w:kern w:val="0"/>
          <w:sz w:val="24"/>
          <w:lang w:val="zh-CN"/>
        </w:rPr>
        <w:t>（4）供应商承诺</w:t>
      </w:r>
      <w:r>
        <w:rPr>
          <w:rFonts w:hint="eastAsia" w:ascii="宋体" w:hAnsi="宋体" w:cs="宋体"/>
          <w:kern w:val="0"/>
          <w:sz w:val="24"/>
          <w:lang w:val="en-US" w:eastAsia="zh-CN"/>
        </w:rPr>
        <w:t>函</w:t>
      </w:r>
      <w:r>
        <w:rPr>
          <w:rFonts w:hint="eastAsia" w:ascii="宋体" w:hAnsi="宋体" w:cs="宋体"/>
          <w:kern w:val="0"/>
          <w:sz w:val="24"/>
          <w:lang w:val="zh-CN"/>
        </w:rPr>
        <w:t>……………………………………………………所在页码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5</w:t>
      </w:r>
      <w:r>
        <w:rPr>
          <w:rFonts w:hint="eastAsia" w:ascii="宋体" w:hAnsi="宋体" w:cs="宋体"/>
          <w:kern w:val="0"/>
          <w:sz w:val="24"/>
          <w:lang w:val="zh-CN"/>
        </w:rPr>
        <w:t>）供应商诚信承诺书………………………………………………所在页码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6</w:t>
      </w:r>
      <w:r>
        <w:rPr>
          <w:rFonts w:hint="eastAsia" w:ascii="宋体" w:hAnsi="宋体" w:cs="宋体"/>
          <w:kern w:val="0"/>
          <w:sz w:val="24"/>
          <w:lang w:val="zh-CN"/>
        </w:rPr>
        <w:t>）资格证明材料……………………………………………………所在页码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7</w:t>
      </w:r>
      <w:r>
        <w:rPr>
          <w:rFonts w:hint="eastAsia" w:ascii="宋体" w:hAnsi="宋体" w:cs="宋体"/>
          <w:kern w:val="0"/>
          <w:sz w:val="24"/>
          <w:lang w:val="zh-CN"/>
        </w:rPr>
        <w:t>）财务状况、缴纳税收和社会保障资金证明……………………所在页码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（8）具备履行合同所必须的设备和专业技术能力证明……………所在页码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（9）</w:t>
      </w:r>
      <w:r>
        <w:rPr>
          <w:rFonts w:hint="eastAsia" w:ascii="宋体" w:hAnsi="宋体" w:cs="宋体"/>
          <w:sz w:val="24"/>
        </w:rPr>
        <w:t>磋商保证金证明</w:t>
      </w:r>
      <w:r>
        <w:rPr>
          <w:rFonts w:hint="eastAsia" w:ascii="宋体" w:hAnsi="宋体" w:cs="宋体"/>
          <w:kern w:val="0"/>
          <w:sz w:val="24"/>
          <w:lang w:val="zh-CN"/>
        </w:rPr>
        <w:t>…………………………………………………所在页码</w:t>
      </w:r>
    </w:p>
    <w:p>
      <w:pPr>
        <w:autoSpaceDE w:val="0"/>
        <w:autoSpaceDN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（10）无重大违法记录声明……………………………………………所在页码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（11）竞争性磋商首次报价表…………………………………………所在页码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（12）分项报价表………………………………………………………所在页码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（13）技术规格响应表…………………………………………………所在页码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（14）磋商产品相关资料………………………………………………所在页码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（15）供应商的类似业绩证明材料……………………………………所在页码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（16）落实政府采购政策需满足的资格证明材料……………………所在页码</w:t>
      </w:r>
    </w:p>
    <w:p>
      <w:pPr>
        <w:spacing w:line="360" w:lineRule="auto"/>
        <w:jc w:val="center"/>
        <w:outlineLvl w:val="9"/>
        <w:rPr>
          <w:rFonts w:ascii="宋体" w:hAnsi="宋体" w:cs="宋体"/>
          <w:kern w:val="0"/>
          <w:sz w:val="24"/>
          <w:lang w:val="zh-CN"/>
        </w:rPr>
      </w:pPr>
      <w:r>
        <w:rPr>
          <w:rFonts w:hint="eastAsia" w:ascii="宋体" w:hAnsi="宋体" w:cs="宋体"/>
          <w:kern w:val="0"/>
          <w:sz w:val="24"/>
          <w:lang w:val="zh-CN"/>
        </w:rPr>
        <w:t>（17）磋商供应商认为在其他方面有必要说明的事项………………所在页码</w:t>
      </w:r>
    </w:p>
    <w:p>
      <w:pPr>
        <w:numPr>
          <w:ilvl w:val="0"/>
          <w:numId w:val="0"/>
        </w:numPr>
        <w:tabs>
          <w:tab w:val="left" w:pos="425"/>
          <w:tab w:val="left" w:pos="720"/>
          <w:tab w:val="left" w:pos="1985"/>
          <w:tab w:val="left" w:pos="7088"/>
        </w:tabs>
        <w:ind w:left="709" w:hanging="709"/>
        <w:outlineLvl w:val="1"/>
        <w:rPr>
          <w:rFonts w:hAnsi="宋体"/>
          <w:sz w:val="24"/>
          <w:szCs w:val="24"/>
        </w:rPr>
      </w:pPr>
      <w:r>
        <w:rPr>
          <w:rFonts w:hAnsi="宋体"/>
          <w:b/>
          <w:bCs/>
          <w:sz w:val="24"/>
          <w:szCs w:val="24"/>
        </w:rPr>
        <w:br w:type="page"/>
      </w:r>
      <w:bookmarkStart w:id="83" w:name="_Toc25583"/>
      <w:r>
        <w:rPr>
          <w:rFonts w:hint="eastAsia" w:hAnsi="宋体"/>
          <w:b/>
          <w:sz w:val="24"/>
          <w:szCs w:val="24"/>
          <w:lang w:val="zh-CN"/>
        </w:rPr>
        <w:t>格式1、磋商函</w:t>
      </w:r>
      <w:bookmarkEnd w:id="83"/>
    </w:p>
    <w:p>
      <w:pPr>
        <w:adjustRightInd w:val="0"/>
        <w:spacing w:line="360" w:lineRule="auto"/>
        <w:jc w:val="center"/>
        <w:textAlignment w:val="baseline"/>
        <w:outlineLvl w:val="9"/>
        <w:rPr>
          <w:rFonts w:hint="eastAsia" w:ascii="宋体" w:hAnsi="宋体"/>
          <w:b/>
          <w:sz w:val="24"/>
        </w:rPr>
      </w:pPr>
    </w:p>
    <w:p>
      <w:pPr>
        <w:adjustRightInd w:val="0"/>
        <w:spacing w:line="360" w:lineRule="auto"/>
        <w:jc w:val="center"/>
        <w:textAlignment w:val="baseline"/>
        <w:outlineLvl w:val="9"/>
        <w:rPr>
          <w:rFonts w:ascii="宋体" w:hAnsi="宋体"/>
          <w:b/>
          <w:sz w:val="24"/>
        </w:rPr>
      </w:pPr>
      <w:r>
        <w:rPr>
          <w:rFonts w:hint="eastAsia" w:ascii="宋体" w:hAnsi="宋体"/>
          <w:b/>
          <w:sz w:val="24"/>
        </w:rPr>
        <w:t>磋 商 函</w:t>
      </w:r>
    </w:p>
    <w:p>
      <w:pPr>
        <w:adjustRightInd w:val="0"/>
        <w:spacing w:line="360" w:lineRule="auto"/>
        <w:ind w:left="482" w:hanging="482" w:hangingChars="200"/>
        <w:textAlignment w:val="baseline"/>
        <w:outlineLvl w:val="9"/>
        <w:rPr>
          <w:rFonts w:ascii="宋体" w:hAnsi="宋体"/>
          <w:b/>
          <w:sz w:val="24"/>
        </w:rPr>
      </w:pPr>
      <w:r>
        <w:rPr>
          <w:rFonts w:hint="eastAsia" w:ascii="宋体" w:hAnsi="宋体"/>
          <w:b/>
          <w:sz w:val="24"/>
        </w:rPr>
        <w:t>致：</w:t>
      </w:r>
      <w:r>
        <w:rPr>
          <w:rFonts w:hint="eastAsia" w:ascii="宋体" w:hAnsi="宋体"/>
          <w:b/>
          <w:sz w:val="24"/>
          <w:u w:val="single"/>
          <w:lang w:eastAsia="zh-CN"/>
        </w:rPr>
        <w:t>青海世瀚工程项目管理有限公司</w:t>
      </w:r>
      <w:r>
        <w:rPr>
          <w:rFonts w:hint="eastAsia" w:ascii="宋体" w:hAnsi="宋体"/>
          <w:b/>
          <w:sz w:val="24"/>
          <w:u w:val="single"/>
        </w:rPr>
        <w:t>：</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我们收到</w:t>
      </w:r>
      <w:r>
        <w:rPr>
          <w:rFonts w:hint="eastAsia" w:ascii="宋体" w:hAnsi="宋体" w:cs="宋体"/>
          <w:sz w:val="24"/>
          <w:u w:val="single"/>
          <w:lang w:val="zh-CN"/>
        </w:rPr>
        <w:t>都兰县2024年欠发达国有林场种苗基地建设项目第二次</w:t>
      </w:r>
      <w:r>
        <w:rPr>
          <w:rFonts w:hint="eastAsia" w:ascii="宋体" w:hAnsi="宋体"/>
          <w:sz w:val="24"/>
          <w:u w:val="single"/>
        </w:rPr>
        <w:t>（</w:t>
      </w:r>
      <w:r>
        <w:rPr>
          <w:rFonts w:hint="eastAsia" w:ascii="宋体" w:hAnsi="宋体"/>
          <w:sz w:val="24"/>
          <w:u w:val="single"/>
          <w:lang w:eastAsia="zh-CN"/>
        </w:rPr>
        <w:t>青海世瀚竞磋（货物）202</w:t>
      </w:r>
      <w:r>
        <w:rPr>
          <w:rFonts w:hint="eastAsia" w:ascii="宋体" w:hAnsi="宋体"/>
          <w:sz w:val="24"/>
          <w:u w:val="single"/>
          <w:lang w:val="en-US" w:eastAsia="zh-CN"/>
        </w:rPr>
        <w:t>4</w:t>
      </w:r>
      <w:r>
        <w:rPr>
          <w:rFonts w:hint="eastAsia" w:ascii="宋体" w:hAnsi="宋体"/>
          <w:sz w:val="24"/>
          <w:u w:val="single"/>
          <w:lang w:eastAsia="zh-CN"/>
        </w:rPr>
        <w:t>-0</w:t>
      </w:r>
      <w:r>
        <w:rPr>
          <w:rFonts w:hint="eastAsia" w:ascii="宋体" w:hAnsi="宋体"/>
          <w:sz w:val="24"/>
          <w:u w:val="single"/>
          <w:lang w:val="en-US" w:eastAsia="zh-CN"/>
        </w:rPr>
        <w:t>01</w:t>
      </w:r>
      <w:r>
        <w:rPr>
          <w:rFonts w:hint="eastAsia" w:ascii="宋体" w:hAnsi="宋体"/>
          <w:sz w:val="24"/>
          <w:u w:val="single"/>
        </w:rPr>
        <w:t>）磋</w:t>
      </w:r>
      <w:r>
        <w:rPr>
          <w:rFonts w:hint="eastAsia" w:ascii="宋体" w:hAnsi="宋体"/>
          <w:sz w:val="24"/>
        </w:rPr>
        <w:t>商文件，经研究，法定代表人（姓名、职务）正式授权（委托代理人姓名、职务）代表供应商（供应商名称、地址）提交响应文件。</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据此函，签字代表宣布同意如下：</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1.我方已详阅磋商文件的全部内容，包括澄清、修改条款等有关附件，承诺对其完全理解并接受。</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2.磋商有效期自开标之日起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hAnsi="宋体" w:cs="Arial"/>
          <w:color w:val="000000" w:themeColor="text1"/>
          <w:sz w:val="24"/>
          <w:u w:val="single"/>
          <w14:textFill>
            <w14:solidFill>
              <w14:schemeClr w14:val="tx1"/>
            </w14:solidFill>
          </w14:textFill>
        </w:rPr>
        <w:t xml:space="preserve"> </w:t>
      </w:r>
      <w:r>
        <w:rPr>
          <w:rFonts w:hint="eastAsia" w:ascii="宋体" w:hAnsi="宋体"/>
          <w:sz w:val="24"/>
        </w:rPr>
        <w:t>内有效。如果在规定的开标时间后，我方在磋商有效期内撤回磋商或成交后不签约的，磋商保证金将被贵方没收。</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3.我方同意按照贵方要求提供与磋商有关的一切数据或资料，理解并接受贵方制定的评标办法。</w:t>
      </w:r>
    </w:p>
    <w:p>
      <w:pPr>
        <w:adjustRightInd w:val="0"/>
        <w:spacing w:line="360" w:lineRule="auto"/>
        <w:ind w:firstLine="480" w:firstLineChars="200"/>
        <w:textAlignment w:val="baseline"/>
        <w:outlineLvl w:val="9"/>
        <w:rPr>
          <w:rFonts w:ascii="宋体" w:hAnsi="宋体"/>
          <w:sz w:val="24"/>
        </w:rPr>
      </w:pPr>
      <w:r>
        <w:rPr>
          <w:rFonts w:hint="eastAsia" w:ascii="宋体" w:hAnsi="宋体"/>
          <w:sz w:val="24"/>
        </w:rPr>
        <w:t>4.与本磋商有关的一切正式往来通讯请寄：</w:t>
      </w:r>
    </w:p>
    <w:p>
      <w:pPr>
        <w:adjustRightInd w:val="0"/>
        <w:spacing w:line="360" w:lineRule="auto"/>
        <w:ind w:firstLine="480" w:firstLineChars="200"/>
        <w:textAlignment w:val="baseline"/>
        <w:outlineLvl w:val="9"/>
        <w:rPr>
          <w:rFonts w:ascii="宋体" w:hAnsi="宋体"/>
          <w:sz w:val="24"/>
        </w:rPr>
      </w:pPr>
    </w:p>
    <w:p>
      <w:pPr>
        <w:adjustRightInd w:val="0"/>
        <w:spacing w:line="360" w:lineRule="auto"/>
        <w:textAlignment w:val="baseline"/>
        <w:outlineLvl w:val="9"/>
        <w:rPr>
          <w:rFonts w:ascii="宋体" w:hAnsi="宋体"/>
          <w:sz w:val="24"/>
        </w:rPr>
      </w:pPr>
      <w:r>
        <w:rPr>
          <w:rFonts w:hint="eastAsia" w:ascii="宋体" w:hAnsi="宋体"/>
          <w:sz w:val="24"/>
        </w:rPr>
        <w:t>地址：                               邮编：</w:t>
      </w:r>
    </w:p>
    <w:p>
      <w:pPr>
        <w:adjustRightInd w:val="0"/>
        <w:spacing w:line="360" w:lineRule="auto"/>
        <w:textAlignment w:val="baseline"/>
        <w:outlineLvl w:val="9"/>
        <w:rPr>
          <w:rFonts w:ascii="宋体" w:hAnsi="宋体"/>
          <w:sz w:val="24"/>
        </w:rPr>
      </w:pPr>
    </w:p>
    <w:p>
      <w:pPr>
        <w:adjustRightInd w:val="0"/>
        <w:spacing w:line="360" w:lineRule="auto"/>
        <w:textAlignment w:val="baseline"/>
        <w:outlineLvl w:val="9"/>
        <w:rPr>
          <w:rFonts w:ascii="宋体" w:hAnsi="宋体"/>
          <w:sz w:val="24"/>
        </w:rPr>
      </w:pPr>
      <w:r>
        <w:rPr>
          <w:rFonts w:hint="eastAsia" w:ascii="宋体" w:hAnsi="宋体"/>
          <w:sz w:val="24"/>
        </w:rPr>
        <w:t>电话：                               传真：</w:t>
      </w:r>
    </w:p>
    <w:p>
      <w:pPr>
        <w:adjustRightInd w:val="0"/>
        <w:spacing w:line="360" w:lineRule="auto"/>
        <w:textAlignment w:val="baseline"/>
        <w:outlineLvl w:val="9"/>
        <w:rPr>
          <w:rFonts w:ascii="宋体" w:hAnsi="宋体"/>
          <w:sz w:val="24"/>
        </w:rPr>
      </w:pPr>
    </w:p>
    <w:p>
      <w:pPr>
        <w:adjustRightInd w:val="0"/>
        <w:spacing w:line="360" w:lineRule="auto"/>
        <w:textAlignment w:val="baseline"/>
        <w:outlineLvl w:val="9"/>
        <w:rPr>
          <w:rFonts w:ascii="宋体" w:hAnsi="宋体"/>
          <w:sz w:val="24"/>
        </w:rPr>
      </w:pPr>
      <w:r>
        <w:rPr>
          <w:rFonts w:hint="eastAsia" w:ascii="宋体" w:hAnsi="宋体"/>
          <w:sz w:val="24"/>
        </w:rPr>
        <w:t>法定代表人姓名：                     职务：</w:t>
      </w:r>
      <w:bookmarkStart w:id="84" w:name="_Toc444715736"/>
    </w:p>
    <w:p>
      <w:pPr>
        <w:tabs>
          <w:tab w:val="left" w:pos="168"/>
        </w:tabs>
        <w:adjustRightInd w:val="0"/>
        <w:spacing w:line="360" w:lineRule="auto"/>
        <w:ind w:right="480"/>
        <w:jc w:val="right"/>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spacing w:line="360" w:lineRule="auto"/>
        <w:outlineLvl w:val="9"/>
        <w:rPr>
          <w:rFonts w:ascii="宋体" w:hAnsi="宋体"/>
          <w:bCs/>
          <w:sz w:val="24"/>
        </w:rPr>
      </w:pPr>
      <w:r>
        <w:rPr>
          <w:rFonts w:ascii="宋体" w:hAnsi="宋体"/>
          <w:bCs/>
          <w:sz w:val="24"/>
        </w:rPr>
        <w:br w:type="page"/>
      </w:r>
    </w:p>
    <w:bookmarkEnd w:id="84"/>
    <w:p>
      <w:pPr>
        <w:numPr>
          <w:ilvl w:val="0"/>
          <w:numId w:val="0"/>
        </w:numPr>
        <w:tabs>
          <w:tab w:val="left" w:pos="425"/>
          <w:tab w:val="left" w:pos="720"/>
          <w:tab w:val="left" w:pos="1985"/>
          <w:tab w:val="left" w:pos="7088"/>
        </w:tabs>
        <w:outlineLvl w:val="1"/>
        <w:rPr>
          <w:rFonts w:hAnsi="宋体"/>
          <w:sz w:val="24"/>
          <w:szCs w:val="24"/>
          <w:lang w:val="zh-CN"/>
        </w:rPr>
      </w:pPr>
      <w:bookmarkStart w:id="85" w:name="_Toc10024"/>
      <w:r>
        <w:rPr>
          <w:rFonts w:hint="eastAsia" w:hAnsi="宋体"/>
          <w:b/>
          <w:sz w:val="24"/>
          <w:szCs w:val="24"/>
          <w:lang w:val="zh-CN"/>
        </w:rPr>
        <w:t>格式2、法定代表人证明书</w:t>
      </w:r>
      <w:bookmarkEnd w:id="85"/>
    </w:p>
    <w:p>
      <w:pPr>
        <w:spacing w:line="360" w:lineRule="auto"/>
        <w:outlineLvl w:val="9"/>
        <w:rPr>
          <w:rFonts w:ascii="宋体" w:hAnsi="宋体"/>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法定代表人证明书</w:t>
      </w:r>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致：青海世瀚工程项目管理有限公司</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r>
        <w:rPr>
          <w:rFonts w:hint="eastAsia" w:ascii="宋体" w:hAnsi="宋体" w:cs="宋体"/>
          <w:kern w:val="0"/>
          <w:sz w:val="24"/>
          <w:u w:val="single"/>
          <w:lang w:val="zh-CN"/>
        </w:rPr>
        <w:t>（</w:t>
      </w:r>
      <w:r>
        <w:rPr>
          <w:rFonts w:hint="eastAsia" w:ascii="宋体" w:hAnsi="宋体"/>
          <w:sz w:val="24"/>
          <w:u w:val="single"/>
        </w:rPr>
        <w:t>法定代表人姓名</w:t>
      </w:r>
      <w:r>
        <w:rPr>
          <w:rFonts w:hint="eastAsia" w:ascii="宋体" w:hAnsi="宋体" w:cs="宋体"/>
          <w:kern w:val="0"/>
          <w:sz w:val="24"/>
          <w:u w:val="single"/>
          <w:lang w:val="zh-CN"/>
        </w:rPr>
        <w:t xml:space="preserve">）     </w:t>
      </w:r>
      <w:r>
        <w:rPr>
          <w:rFonts w:hint="eastAsia" w:ascii="宋体" w:hAnsi="宋体" w:cs="宋体"/>
          <w:kern w:val="0"/>
          <w:sz w:val="24"/>
          <w:lang w:val="zh-CN"/>
        </w:rPr>
        <w:t>现任我单位</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职务，为法定代表人，特此证明。</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r>
        <w:rPr>
          <w:rFonts w:hint="eastAsia" w:ascii="宋体" w:hAnsi="宋体" w:cs="宋体"/>
          <w:kern w:val="0"/>
          <w:sz w:val="24"/>
          <w:lang w:val="zh-CN"/>
        </w:rPr>
        <w:t>法定代表人基本情况：</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u w:val="single"/>
          <w:lang w:val="zh-CN"/>
        </w:rPr>
      </w:pPr>
      <w:r>
        <w:rPr>
          <w:rFonts w:hint="eastAsia" w:ascii="宋体" w:hAnsi="宋体" w:cs="宋体"/>
          <w:kern w:val="0"/>
          <w:sz w:val="24"/>
          <w:lang w:val="zh-CN"/>
        </w:rPr>
        <w:t>性别：     年龄：    民族：</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u w:val="single"/>
          <w:lang w:val="zh-CN"/>
        </w:rPr>
      </w:pPr>
      <w:r>
        <w:rPr>
          <w:rFonts w:hint="eastAsia" w:ascii="宋体" w:hAnsi="宋体" w:cs="宋体"/>
          <w:kern w:val="0"/>
          <w:sz w:val="24"/>
          <w:lang w:val="zh-CN"/>
        </w:rPr>
        <w:t>地址：</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r>
        <w:rPr>
          <w:rFonts w:hint="eastAsia" w:ascii="宋体" w:hAnsi="宋体" w:cs="宋体"/>
          <w:kern w:val="0"/>
          <w:sz w:val="24"/>
          <w:lang w:val="zh-CN"/>
        </w:rPr>
        <w:t>身份证号码：</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r>
        <w:rPr>
          <w:rFonts w:hint="eastAsia" w:ascii="宋体" w:hAnsi="宋体" w:cs="宋体"/>
          <w:kern w:val="0"/>
          <w:sz w:val="24"/>
          <w:lang w:val="zh-CN"/>
        </w:rPr>
        <w:t>附：法定代表人第二代身份证双面扫描（或复印）件。</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tabs>
          <w:tab w:val="left" w:pos="168"/>
        </w:tabs>
        <w:adjustRightInd w:val="0"/>
        <w:spacing w:line="360" w:lineRule="auto"/>
        <w:textAlignment w:val="baseline"/>
        <w:outlineLvl w:val="9"/>
        <w:rPr>
          <w:rFonts w:ascii="宋体" w:hAnsi="宋体"/>
          <w:bCs/>
          <w:sz w:val="24"/>
        </w:rPr>
      </w:pPr>
      <w:bookmarkStart w:id="86" w:name="_Toc16858"/>
      <w:bookmarkStart w:id="87" w:name="_Toc444715738"/>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lang w:val="en-US" w:eastAsia="zh-CN"/>
        </w:rPr>
        <w:t xml:space="preserve"> </w:t>
      </w:r>
      <w:r>
        <w:rPr>
          <w:rFonts w:hint="eastAsia" w:ascii="宋体" w:hAnsi="宋体"/>
          <w:bCs/>
          <w:sz w:val="24"/>
        </w:rPr>
        <w:t>法定代表人：             （签字）</w:t>
      </w:r>
    </w:p>
    <w:p>
      <w:pPr>
        <w:tabs>
          <w:tab w:val="left" w:pos="168"/>
        </w:tabs>
        <w:adjustRightInd w:val="0"/>
        <w:spacing w:line="360" w:lineRule="auto"/>
        <w:ind w:right="480"/>
        <w:jc w:val="center"/>
        <w:textAlignment w:val="baseline"/>
        <w:outlineLvl w:val="9"/>
        <w:rPr>
          <w:rFonts w:ascii="宋体" w:hAnsi="宋体"/>
          <w:bCs/>
          <w:sz w:val="24"/>
        </w:rPr>
      </w:pPr>
      <w:r>
        <w:rPr>
          <w:rFonts w:hint="eastAsia" w:ascii="宋体" w:hAnsi="宋体"/>
          <w:bCs/>
          <w:sz w:val="24"/>
          <w:lang w:val="en-US" w:eastAsia="zh-CN"/>
        </w:rPr>
        <w:t xml:space="preserve">                                                     </w:t>
      </w:r>
      <w:r>
        <w:rPr>
          <w:rFonts w:hint="eastAsia" w:ascii="宋体" w:hAnsi="宋体"/>
          <w:bCs/>
          <w:sz w:val="24"/>
        </w:rPr>
        <w:t>日期：</w:t>
      </w:r>
      <w:r>
        <w:rPr>
          <w:rFonts w:hint="eastAsia" w:ascii="宋体" w:hAnsi="宋体"/>
          <w:bCs/>
          <w:sz w:val="24"/>
          <w:lang w:val="en-US" w:eastAsia="zh-CN"/>
        </w:rPr>
        <w:t xml:space="preserve">  </w:t>
      </w:r>
      <w:r>
        <w:rPr>
          <w:rFonts w:hint="eastAsia" w:ascii="宋体" w:hAnsi="宋体"/>
          <w:bCs/>
          <w:sz w:val="24"/>
        </w:rPr>
        <w:t xml:space="preserve">  年   月   日</w:t>
      </w:r>
    </w:p>
    <w:p>
      <w:pPr>
        <w:numPr>
          <w:ilvl w:val="0"/>
          <w:numId w:val="0"/>
        </w:numPr>
        <w:tabs>
          <w:tab w:val="left" w:pos="425"/>
          <w:tab w:val="left" w:pos="720"/>
          <w:tab w:val="left" w:pos="1985"/>
          <w:tab w:val="left" w:pos="7088"/>
        </w:tabs>
        <w:ind w:left="709" w:hanging="709"/>
        <w:outlineLvl w:val="1"/>
        <w:rPr>
          <w:rFonts w:hAnsi="宋体"/>
          <w:sz w:val="24"/>
          <w:szCs w:val="24"/>
        </w:rPr>
      </w:pPr>
      <w:r>
        <w:rPr>
          <w:rFonts w:hAnsi="宋体"/>
          <w:bCs/>
          <w:sz w:val="24"/>
          <w:szCs w:val="24"/>
        </w:rPr>
        <w:br w:type="page"/>
      </w:r>
      <w:bookmarkStart w:id="88" w:name="_Toc17487"/>
      <w:r>
        <w:rPr>
          <w:rFonts w:hint="eastAsia" w:hAnsi="宋体"/>
          <w:b/>
          <w:sz w:val="24"/>
          <w:szCs w:val="24"/>
          <w:lang w:val="zh-CN"/>
        </w:rPr>
        <w:t>格式3、法定代表人授权书</w:t>
      </w:r>
      <w:bookmarkEnd w:id="86"/>
      <w:bookmarkEnd w:id="87"/>
      <w:bookmarkEnd w:id="88"/>
    </w:p>
    <w:p>
      <w:pPr>
        <w:autoSpaceDE w:val="0"/>
        <w:autoSpaceDN w:val="0"/>
        <w:adjustRightInd w:val="0"/>
        <w:spacing w:line="360" w:lineRule="auto"/>
        <w:jc w:val="center"/>
        <w:outlineLvl w:val="9"/>
        <w:rPr>
          <w:rFonts w:hint="eastAsia" w:ascii="宋体" w:hAnsi="宋体" w:cs="宋体"/>
          <w:b/>
          <w:bCs/>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法定代表人授权书</w:t>
      </w:r>
    </w:p>
    <w:p>
      <w:pPr>
        <w:spacing w:line="360" w:lineRule="auto"/>
        <w:outlineLvl w:val="9"/>
        <w:rPr>
          <w:rFonts w:hint="eastAsia" w:ascii="宋体" w:hAnsi="宋体" w:eastAsia="宋体"/>
          <w:b/>
          <w:bCs/>
          <w:sz w:val="24"/>
          <w:lang w:eastAsia="zh-CN"/>
        </w:rPr>
      </w:pPr>
      <w:r>
        <w:rPr>
          <w:rFonts w:hint="eastAsia" w:ascii="宋体" w:hAnsi="宋体"/>
          <w:b/>
          <w:bCs/>
          <w:sz w:val="24"/>
        </w:rPr>
        <w:t>致：</w:t>
      </w:r>
      <w:r>
        <w:rPr>
          <w:rFonts w:hint="eastAsia" w:ascii="宋体" w:hAnsi="宋体"/>
          <w:b/>
          <w:bCs/>
          <w:sz w:val="24"/>
          <w:lang w:eastAsia="zh-CN"/>
        </w:rPr>
        <w:t>青海世瀚工程项目管理有限公司</w:t>
      </w:r>
    </w:p>
    <w:p>
      <w:pPr>
        <w:spacing w:line="360" w:lineRule="auto"/>
        <w:outlineLvl w:val="9"/>
        <w:rPr>
          <w:rFonts w:ascii="宋体" w:hAnsi="宋体"/>
          <w:sz w:val="24"/>
          <w:u w:val="single"/>
        </w:rPr>
      </w:pPr>
    </w:p>
    <w:p>
      <w:pPr>
        <w:spacing w:line="360" w:lineRule="auto"/>
        <w:ind w:firstLine="480" w:firstLineChars="200"/>
        <w:outlineLvl w:val="9"/>
        <w:rPr>
          <w:rFonts w:ascii="宋体" w:hAnsi="宋体"/>
          <w:sz w:val="24"/>
        </w:rPr>
      </w:pPr>
      <w:r>
        <w:rPr>
          <w:rFonts w:hint="eastAsia" w:ascii="宋体" w:hAnsi="宋体"/>
          <w:sz w:val="24"/>
          <w:u w:val="single"/>
        </w:rPr>
        <w:t>（供应商名称）</w:t>
      </w:r>
      <w:r>
        <w:rPr>
          <w:rFonts w:hint="eastAsia" w:ascii="宋体" w:hAnsi="宋体"/>
          <w:sz w:val="24"/>
        </w:rPr>
        <w:t>系中华人民共和国合法企业，法定地址</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outlineLvl w:val="9"/>
        <w:rPr>
          <w:rFonts w:ascii="宋体" w:hAnsi="宋体"/>
          <w:sz w:val="24"/>
        </w:rPr>
      </w:pPr>
      <w:r>
        <w:rPr>
          <w:rFonts w:hint="eastAsia" w:ascii="宋体" w:hAnsi="宋体"/>
          <w:sz w:val="24"/>
          <w:u w:val="single"/>
        </w:rPr>
        <w:t>（法定代表人姓名）</w:t>
      </w:r>
      <w:r>
        <w:rPr>
          <w:rFonts w:hint="eastAsia" w:ascii="宋体" w:hAnsi="宋体"/>
          <w:sz w:val="24"/>
        </w:rPr>
        <w:t>特授权</w:t>
      </w:r>
      <w:r>
        <w:rPr>
          <w:rFonts w:hint="eastAsia" w:ascii="宋体" w:hAnsi="宋体"/>
          <w:sz w:val="24"/>
          <w:u w:val="single"/>
        </w:rPr>
        <w:t>（被授权人姓名）</w:t>
      </w:r>
      <w:r>
        <w:rPr>
          <w:rFonts w:hint="eastAsia" w:ascii="宋体" w:hAnsi="宋体"/>
          <w:sz w:val="24"/>
        </w:rPr>
        <w:t>代表我单位全权办理</w:t>
      </w:r>
      <w:r>
        <w:rPr>
          <w:rFonts w:hint="eastAsia" w:ascii="宋体" w:hAnsi="宋体"/>
          <w:sz w:val="24"/>
          <w:u w:val="single"/>
          <w:lang w:val="en-US" w:eastAsia="zh-CN"/>
        </w:rPr>
        <w:t xml:space="preserve">          </w:t>
      </w:r>
      <w:r>
        <w:rPr>
          <w:rFonts w:hint="eastAsia" w:ascii="宋体" w:hAnsi="宋体"/>
          <w:sz w:val="24"/>
        </w:rPr>
        <w:t>项目的磋商、答疑等具体工作，并签署全部有关的文件、协议及合同。</w:t>
      </w:r>
    </w:p>
    <w:p>
      <w:pPr>
        <w:spacing w:line="360" w:lineRule="auto"/>
        <w:ind w:firstLine="480" w:firstLineChars="200"/>
        <w:outlineLvl w:val="9"/>
        <w:rPr>
          <w:rFonts w:ascii="宋体" w:hAnsi="宋体"/>
          <w:sz w:val="24"/>
        </w:rPr>
      </w:pPr>
      <w:r>
        <w:rPr>
          <w:rFonts w:hint="eastAsia" w:ascii="宋体" w:hAnsi="宋体"/>
          <w:sz w:val="24"/>
        </w:rPr>
        <w:t>我单位对被授权人的签名负全部责任。</w:t>
      </w:r>
    </w:p>
    <w:p>
      <w:pPr>
        <w:spacing w:line="360" w:lineRule="auto"/>
        <w:ind w:firstLine="480" w:firstLineChars="200"/>
        <w:outlineLvl w:val="9"/>
        <w:rPr>
          <w:rFonts w:ascii="宋体" w:hAnsi="宋体"/>
          <w:sz w:val="24"/>
        </w:rPr>
      </w:pPr>
      <w:r>
        <w:rPr>
          <w:rFonts w:hint="eastAsia" w:ascii="宋体" w:hAnsi="宋体"/>
          <w:sz w:val="24"/>
        </w:rPr>
        <w:t>在撤销授权的书面通知以前，本授权书一直有效。被授权人签署的所有文件（在授权书有效期内签署的）不因授权的撤销而失效。</w:t>
      </w:r>
    </w:p>
    <w:p>
      <w:pPr>
        <w:spacing w:line="360" w:lineRule="auto"/>
        <w:ind w:firstLine="480" w:firstLineChars="200"/>
        <w:outlineLvl w:val="9"/>
        <w:rPr>
          <w:rFonts w:ascii="宋体" w:hAnsi="宋体"/>
          <w:sz w:val="24"/>
        </w:rPr>
      </w:pPr>
      <w:r>
        <w:rPr>
          <w:rFonts w:hint="eastAsia" w:ascii="宋体" w:hAnsi="宋体"/>
          <w:color w:val="auto"/>
          <w:sz w:val="24"/>
        </w:rPr>
        <w:t>授权期限：自</w:t>
      </w:r>
      <w:r>
        <w:rPr>
          <w:rFonts w:hint="eastAsia" w:ascii="宋体" w:hAnsi="宋体"/>
          <w:color w:val="auto"/>
          <w:sz w:val="24"/>
          <w:u w:val="single"/>
        </w:rPr>
        <w:t xml:space="preserve">     </w:t>
      </w:r>
      <w:r>
        <w:rPr>
          <w:rFonts w:hint="eastAsia" w:ascii="宋体" w:hAnsi="宋体"/>
          <w:color w:val="auto"/>
          <w:sz w:val="24"/>
        </w:rPr>
        <w:t xml:space="preserve"> 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rPr>
        <w:t xml:space="preserve"> 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日止。</w:t>
      </w:r>
    </w:p>
    <w:p>
      <w:pPr>
        <w:spacing w:line="360" w:lineRule="auto"/>
        <w:ind w:firstLine="480" w:firstLineChars="200"/>
        <w:outlineLvl w:val="9"/>
        <w:rPr>
          <w:rFonts w:ascii="宋体" w:hAnsi="宋体"/>
          <w:sz w:val="24"/>
          <w:u w:val="single"/>
        </w:rPr>
      </w:pPr>
      <w:r>
        <w:rPr>
          <w:rFonts w:ascii="宋体" w:hAnsi="宋体"/>
          <w:sz w:val="24"/>
        </w:rPr>
        <w:t>被授权人联系电话</w:t>
      </w:r>
      <w:r>
        <w:rPr>
          <w:rFonts w:hint="eastAsia" w:ascii="宋体" w:hAnsi="宋体"/>
          <w:sz w:val="24"/>
        </w:rPr>
        <w:t>：</w:t>
      </w:r>
    </w:p>
    <w:p>
      <w:pPr>
        <w:spacing w:line="360" w:lineRule="auto"/>
        <w:outlineLvl w:val="9"/>
        <w:rPr>
          <w:rFonts w:ascii="宋体" w:hAnsi="宋体"/>
          <w:sz w:val="24"/>
          <w:u w:val="single"/>
        </w:rPr>
      </w:pPr>
      <w:r>
        <w:rPr>
          <w:rFonts w:hint="eastAsia" w:ascii="宋体" w:hAnsi="宋体"/>
          <w:sz w:val="24"/>
        </w:rPr>
        <w:t>被授权人（委托代理人）签名：          授权人（法定代表人）签名：</w:t>
      </w:r>
    </w:p>
    <w:p>
      <w:pPr>
        <w:spacing w:line="360" w:lineRule="auto"/>
        <w:outlineLvl w:val="9"/>
        <w:rPr>
          <w:rFonts w:ascii="宋体" w:hAnsi="宋体"/>
          <w:sz w:val="24"/>
        </w:rPr>
      </w:pPr>
      <w:r>
        <w:rPr>
          <w:rFonts w:hint="eastAsia" w:ascii="宋体" w:hAnsi="宋体"/>
          <w:sz w:val="24"/>
        </w:rPr>
        <w:t>职务：                                 职务：</w:t>
      </w:r>
    </w:p>
    <w:p>
      <w:pPr>
        <w:spacing w:line="360" w:lineRule="auto"/>
        <w:outlineLvl w:val="9"/>
        <w:rPr>
          <w:rFonts w:hint="eastAsia" w:ascii="宋体" w:hAnsi="宋体"/>
          <w:sz w:val="24"/>
        </w:rPr>
      </w:pPr>
    </w:p>
    <w:p>
      <w:pPr>
        <w:spacing w:line="360" w:lineRule="auto"/>
        <w:outlineLvl w:val="9"/>
        <w:rPr>
          <w:rFonts w:ascii="宋体" w:hAnsi="宋体"/>
          <w:sz w:val="24"/>
        </w:rPr>
      </w:pPr>
      <w:r>
        <w:rPr>
          <w:rFonts w:hint="eastAsia" w:ascii="宋体" w:hAnsi="宋体"/>
          <w:sz w:val="24"/>
        </w:rPr>
        <w:t>附：被授权人身份证正、反面扫描（或复印）件</w:t>
      </w:r>
      <w:r>
        <w:rPr>
          <w:rFonts w:hint="eastAsia" w:ascii="宋体" w:hAnsi="宋体" w:cs="宋体"/>
          <w:kern w:val="0"/>
          <w:sz w:val="24"/>
          <w:lang w:val="zh-CN"/>
        </w:rPr>
        <w:t>。</w:t>
      </w: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lang w:val="en-US" w:eastAsia="zh-CN"/>
        </w:rPr>
        <w:t xml:space="preserve">  </w:t>
      </w:r>
      <w:r>
        <w:rPr>
          <w:rFonts w:hint="eastAsia" w:ascii="宋体" w:hAnsi="宋体"/>
          <w:bCs/>
          <w:sz w:val="24"/>
        </w:rPr>
        <w:t>法定代表人</w:t>
      </w:r>
      <w:r>
        <w:rPr>
          <w:rFonts w:hint="eastAsia" w:ascii="宋体" w:hAnsi="宋体"/>
          <w:bCs/>
          <w:sz w:val="24"/>
          <w:lang w:eastAsia="zh-CN"/>
        </w:rPr>
        <w:t>：</w:t>
      </w:r>
      <w:r>
        <w:rPr>
          <w:rFonts w:hint="eastAsia" w:ascii="宋体" w:hAnsi="宋体"/>
          <w:bCs/>
          <w:sz w:val="24"/>
        </w:rPr>
        <w:t xml:space="preserve">              （签字）</w:t>
      </w:r>
    </w:p>
    <w:p>
      <w:pPr>
        <w:tabs>
          <w:tab w:val="left" w:pos="168"/>
        </w:tabs>
        <w:adjustRightInd w:val="0"/>
        <w:spacing w:line="360" w:lineRule="auto"/>
        <w:ind w:right="480" w:firstLine="6000" w:firstLineChars="2500"/>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ind w:left="709" w:hanging="709"/>
        <w:outlineLvl w:val="1"/>
        <w:rPr>
          <w:rFonts w:hint="eastAsia" w:hAnsi="宋体" w:eastAsia="宋体"/>
          <w:sz w:val="24"/>
          <w:szCs w:val="24"/>
          <w:lang w:val="en-US" w:eastAsia="zh-CN"/>
        </w:rPr>
      </w:pPr>
      <w:r>
        <w:rPr>
          <w:rFonts w:hAnsi="宋体"/>
          <w:bCs/>
          <w:sz w:val="24"/>
          <w:szCs w:val="24"/>
        </w:rPr>
        <w:br w:type="page"/>
      </w:r>
      <w:bookmarkStart w:id="89" w:name="_Toc21521"/>
      <w:r>
        <w:rPr>
          <w:rFonts w:hint="eastAsia" w:hAnsi="宋体"/>
          <w:b/>
          <w:sz w:val="24"/>
          <w:szCs w:val="24"/>
          <w:lang w:val="zh-CN"/>
        </w:rPr>
        <w:t>格式4、供应商承诺</w:t>
      </w:r>
      <w:r>
        <w:rPr>
          <w:rFonts w:hint="eastAsia" w:hAnsi="宋体"/>
          <w:b/>
          <w:sz w:val="24"/>
          <w:szCs w:val="24"/>
          <w:lang w:val="en-US" w:eastAsia="zh-CN"/>
        </w:rPr>
        <w:t>函</w:t>
      </w:r>
      <w:bookmarkEnd w:id="89"/>
    </w:p>
    <w:p>
      <w:pPr>
        <w:autoSpaceDE w:val="0"/>
        <w:autoSpaceDN w:val="0"/>
        <w:adjustRightInd w:val="0"/>
        <w:spacing w:line="360" w:lineRule="auto"/>
        <w:jc w:val="center"/>
        <w:outlineLvl w:val="9"/>
        <w:rPr>
          <w:rFonts w:hint="eastAsia" w:ascii="宋体" w:hAnsi="宋体" w:cs="宋体"/>
          <w:b/>
          <w:bCs/>
          <w:kern w:val="0"/>
          <w:sz w:val="24"/>
          <w:lang w:val="zh-CN"/>
        </w:rPr>
      </w:pPr>
    </w:p>
    <w:p>
      <w:pPr>
        <w:autoSpaceDE w:val="0"/>
        <w:autoSpaceDN w:val="0"/>
        <w:adjustRightInd w:val="0"/>
        <w:spacing w:line="360" w:lineRule="auto"/>
        <w:jc w:val="center"/>
        <w:outlineLvl w:val="9"/>
        <w:rPr>
          <w:rFonts w:hint="eastAsia" w:ascii="宋体" w:hAnsi="宋体" w:eastAsia="宋体" w:cs="宋体"/>
          <w:b/>
          <w:bCs/>
          <w:kern w:val="0"/>
          <w:sz w:val="24"/>
          <w:lang w:val="en-US" w:eastAsia="zh-CN"/>
        </w:rPr>
      </w:pPr>
      <w:r>
        <w:rPr>
          <w:rFonts w:hint="eastAsia" w:ascii="宋体" w:hAnsi="宋体" w:cs="宋体"/>
          <w:b/>
          <w:bCs/>
          <w:kern w:val="0"/>
          <w:sz w:val="24"/>
          <w:lang w:val="zh-CN"/>
        </w:rPr>
        <w:t>供应商承诺</w:t>
      </w:r>
      <w:r>
        <w:rPr>
          <w:rFonts w:hint="eastAsia" w:ascii="宋体" w:hAnsi="宋体" w:cs="宋体"/>
          <w:b/>
          <w:bCs/>
          <w:kern w:val="0"/>
          <w:sz w:val="24"/>
          <w:lang w:val="en-US" w:eastAsia="zh-CN"/>
        </w:rPr>
        <w:t>函</w:t>
      </w:r>
    </w:p>
    <w:p>
      <w:pPr>
        <w:spacing w:line="360" w:lineRule="auto"/>
        <w:outlineLvl w:val="9"/>
        <w:rPr>
          <w:rFonts w:hint="eastAsia" w:ascii="宋体" w:hAnsi="宋体" w:eastAsia="宋体"/>
          <w:b/>
          <w:bCs/>
          <w:sz w:val="24"/>
          <w:lang w:eastAsia="zh-CN"/>
        </w:rPr>
      </w:pPr>
      <w:r>
        <w:rPr>
          <w:rFonts w:hint="eastAsia" w:ascii="宋体" w:hAnsi="宋体"/>
          <w:b/>
          <w:bCs/>
          <w:sz w:val="24"/>
        </w:rPr>
        <w:t>致：</w:t>
      </w:r>
      <w:r>
        <w:rPr>
          <w:rFonts w:hint="eastAsia" w:ascii="宋体" w:hAnsi="宋体"/>
          <w:b/>
          <w:bCs/>
          <w:sz w:val="24"/>
          <w:lang w:eastAsia="zh-CN"/>
        </w:rPr>
        <w:t>青海世瀚工程项目管理有限公司</w:t>
      </w:r>
    </w:p>
    <w:p>
      <w:pPr>
        <w:spacing w:line="360" w:lineRule="auto"/>
        <w:outlineLvl w:val="9"/>
        <w:rPr>
          <w:rFonts w:ascii="宋体" w:hAnsi="宋体"/>
          <w:sz w:val="24"/>
        </w:rPr>
      </w:pPr>
    </w:p>
    <w:p>
      <w:pPr>
        <w:spacing w:line="360" w:lineRule="auto"/>
        <w:ind w:firstLine="480" w:firstLineChars="200"/>
        <w:outlineLvl w:val="9"/>
        <w:rPr>
          <w:rFonts w:ascii="宋体" w:hAnsi="宋体"/>
          <w:sz w:val="24"/>
        </w:rPr>
      </w:pPr>
      <w:r>
        <w:rPr>
          <w:rFonts w:hint="eastAsia" w:ascii="宋体" w:hAnsi="宋体"/>
          <w:sz w:val="24"/>
        </w:rPr>
        <w:t>关于贵方202</w:t>
      </w:r>
      <w:r>
        <w:rPr>
          <w:rFonts w:hint="eastAsia" w:ascii="宋体" w:hAnsi="宋体"/>
          <w:sz w:val="24"/>
          <w:lang w:val="en-US" w:eastAsia="zh-CN"/>
        </w:rPr>
        <w:t>4</w:t>
      </w:r>
      <w:r>
        <w:rPr>
          <w:rFonts w:hint="eastAsia" w:ascii="宋体" w:hAnsi="宋体"/>
          <w:sz w:val="24"/>
        </w:rPr>
        <w:t>年  月  日</w:t>
      </w:r>
      <w:r>
        <w:rPr>
          <w:rFonts w:hint="eastAsia" w:ascii="宋体" w:hAnsi="宋体"/>
          <w:sz w:val="24"/>
          <w:u w:val="single"/>
        </w:rPr>
        <w:t>(项目名称)</w:t>
      </w:r>
      <w:r>
        <w:rPr>
          <w:rFonts w:hint="eastAsia" w:ascii="宋体" w:hAnsi="宋体"/>
          <w:sz w:val="24"/>
        </w:rPr>
        <w:t>采购项目，本签字人愿意参加磋商，提供采购项目参数及要求中要求的所有产品，并证实提交的所有资料是准确的和真实的。同时，我代表</w:t>
      </w:r>
      <w:r>
        <w:rPr>
          <w:rFonts w:hint="eastAsia" w:ascii="宋体" w:hAnsi="宋体"/>
          <w:sz w:val="24"/>
          <w:u w:val="single"/>
        </w:rPr>
        <w:t>（供应商名称）</w:t>
      </w:r>
      <w:r>
        <w:rPr>
          <w:rFonts w:hint="eastAsia" w:ascii="宋体" w:hAnsi="宋体"/>
          <w:sz w:val="24"/>
        </w:rPr>
        <w:t>，在此作如下承诺：</w:t>
      </w:r>
    </w:p>
    <w:p>
      <w:pPr>
        <w:spacing w:line="360" w:lineRule="auto"/>
        <w:ind w:firstLine="480" w:firstLineChars="200"/>
        <w:outlineLvl w:val="9"/>
        <w:rPr>
          <w:rFonts w:ascii="宋体" w:hAnsi="宋体"/>
          <w:sz w:val="24"/>
        </w:rPr>
      </w:pPr>
      <w:r>
        <w:rPr>
          <w:rFonts w:ascii="宋体" w:hAnsi="宋体"/>
          <w:sz w:val="24"/>
        </w:rPr>
        <w:t>1</w:t>
      </w:r>
      <w:r>
        <w:rPr>
          <w:rFonts w:hint="eastAsia" w:ascii="宋体" w:hAnsi="宋体"/>
          <w:sz w:val="24"/>
        </w:rPr>
        <w:t>、完全理解和接受磋商文件的一切规定和要求；</w:t>
      </w:r>
    </w:p>
    <w:p>
      <w:pPr>
        <w:spacing w:line="360" w:lineRule="auto"/>
        <w:ind w:firstLine="480" w:firstLineChars="200"/>
        <w:outlineLvl w:val="9"/>
        <w:rPr>
          <w:rFonts w:ascii="宋体" w:hAnsi="宋体"/>
          <w:sz w:val="24"/>
        </w:rPr>
      </w:pPr>
      <w:r>
        <w:rPr>
          <w:rFonts w:ascii="宋体" w:hAnsi="宋体"/>
          <w:sz w:val="24"/>
        </w:rPr>
        <w:t>2</w:t>
      </w:r>
      <w:r>
        <w:rPr>
          <w:rFonts w:hint="eastAsia" w:ascii="宋体" w:hAnsi="宋体"/>
          <w:sz w:val="24"/>
        </w:rPr>
        <w:t>、若成交，我方将按照磋商文件的具体规定与采购单位签订合同，并且严格履行合同义务，按时交货，提供优质的产品和服务。如果在合同执行过程中，发现质量出现问题，我方一定尽快更换或保修，并承担相应的经济责任；</w:t>
      </w:r>
    </w:p>
    <w:p>
      <w:pPr>
        <w:spacing w:line="360" w:lineRule="auto"/>
        <w:ind w:firstLine="480" w:firstLineChars="200"/>
        <w:outlineLvl w:val="9"/>
        <w:rPr>
          <w:rFonts w:ascii="宋体" w:hAnsi="宋体"/>
          <w:sz w:val="24"/>
        </w:rPr>
      </w:pPr>
      <w:r>
        <w:rPr>
          <w:rFonts w:ascii="宋体" w:hAnsi="宋体"/>
          <w:sz w:val="24"/>
        </w:rPr>
        <w:t>3</w:t>
      </w:r>
      <w:r>
        <w:rPr>
          <w:rFonts w:hint="eastAsia" w:ascii="宋体" w:hAnsi="宋体"/>
          <w:sz w:val="24"/>
        </w:rPr>
        <w:t>、在整个磋商过程中我方若有违规行为，贵方可按磋商文件之规定给予惩罚，我方完全接受。</w:t>
      </w:r>
    </w:p>
    <w:p>
      <w:pPr>
        <w:spacing w:line="360" w:lineRule="auto"/>
        <w:ind w:firstLine="480" w:firstLineChars="200"/>
        <w:outlineLvl w:val="9"/>
        <w:rPr>
          <w:rFonts w:ascii="宋体" w:hAnsi="宋体"/>
          <w:sz w:val="24"/>
        </w:rPr>
      </w:pPr>
      <w:r>
        <w:rPr>
          <w:rFonts w:ascii="宋体" w:hAnsi="宋体"/>
          <w:sz w:val="24"/>
        </w:rPr>
        <w:t>4</w:t>
      </w:r>
      <w:r>
        <w:rPr>
          <w:rFonts w:hint="eastAsia" w:ascii="宋体" w:hAnsi="宋体"/>
          <w:sz w:val="24"/>
        </w:rPr>
        <w:t>、若成交，本承诺将成为合同不可分割的一部分，与合同具有同等的法律效力。</w:t>
      </w: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ind w:firstLine="480" w:firstLineChars="200"/>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ind w:left="709" w:hanging="709"/>
        <w:outlineLvl w:val="1"/>
        <w:rPr>
          <w:rFonts w:hAnsi="宋体"/>
          <w:sz w:val="24"/>
          <w:szCs w:val="24"/>
          <w:lang w:val="zh-CN"/>
        </w:rPr>
      </w:pPr>
      <w:r>
        <w:rPr>
          <w:rFonts w:hAnsi="宋体"/>
          <w:bCs/>
          <w:sz w:val="24"/>
          <w:szCs w:val="24"/>
        </w:rPr>
        <w:br w:type="page"/>
      </w:r>
      <w:bookmarkStart w:id="90" w:name="_Toc23577"/>
      <w:r>
        <w:rPr>
          <w:rFonts w:hint="eastAsia" w:hAnsi="宋体"/>
          <w:b/>
          <w:sz w:val="24"/>
          <w:szCs w:val="24"/>
          <w:lang w:val="zh-CN"/>
        </w:rPr>
        <w:t>格式5、供应商诚信承诺书</w:t>
      </w:r>
      <w:bookmarkEnd w:id="90"/>
    </w:p>
    <w:p>
      <w:pPr>
        <w:autoSpaceDE w:val="0"/>
        <w:autoSpaceDN w:val="0"/>
        <w:adjustRightInd w:val="0"/>
        <w:spacing w:line="360" w:lineRule="auto"/>
        <w:jc w:val="center"/>
        <w:outlineLvl w:val="9"/>
        <w:rPr>
          <w:rFonts w:hint="eastAsia" w:ascii="宋体" w:hAnsi="宋体" w:cs="宋体"/>
          <w:b/>
          <w:bCs/>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供应商诚信承诺书</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致：青海世瀚工程项目管理有限公司</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为了诚实、客观、有序地参与青海省政府采购活动，愿就以下内容做出承诺：</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三、尊重参与政府采购活动各相关方的合法行为，接受政府采购活动依法形成的意见、结果。</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四、依法参加政府采购活动，不围标、串标，维护市场秩序，不提供“三无”产品、以次充好。</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60" w:lineRule="auto"/>
        <w:ind w:firstLine="480"/>
        <w:outlineLvl w:val="9"/>
        <w:rPr>
          <w:rFonts w:ascii="宋体" w:hAnsi="宋体" w:cs="宋体"/>
          <w:kern w:val="0"/>
          <w:sz w:val="24"/>
          <w:lang w:val="zh-CN"/>
        </w:rPr>
      </w:pPr>
      <w:r>
        <w:rPr>
          <w:rFonts w:hint="eastAsia" w:ascii="宋体" w:hAnsi="宋体" w:cs="宋体"/>
          <w:kern w:val="0"/>
          <w:sz w:val="24"/>
          <w:lang w:val="zh-CN"/>
        </w:rPr>
        <w:t>六、认真履行成交人应承担的责任和义务，全面执行采购合同规定的各项内容，保质保量地按时提供采购物品。</w:t>
      </w:r>
    </w:p>
    <w:p>
      <w:pPr>
        <w:autoSpaceDE w:val="0"/>
        <w:autoSpaceDN w:val="0"/>
        <w:adjustRightInd w:val="0"/>
        <w:spacing w:line="360" w:lineRule="auto"/>
        <w:ind w:firstLine="480" w:firstLineChars="200"/>
        <w:outlineLvl w:val="9"/>
        <w:rPr>
          <w:rFonts w:ascii="宋体" w:hAnsi="宋体" w:cs="宋体"/>
          <w:kern w:val="0"/>
          <w:sz w:val="24"/>
          <w:lang w:val="zh-CN"/>
        </w:rPr>
      </w:pPr>
      <w:r>
        <w:rPr>
          <w:rFonts w:hint="eastAsia" w:ascii="宋体" w:hAnsi="宋体" w:cs="宋体"/>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outlineLvl w:val="9"/>
        <w:rPr>
          <w:rFonts w:ascii="宋体" w:hAnsi="宋体" w:cs="宋体"/>
          <w:kern w:val="0"/>
          <w:sz w:val="24"/>
          <w:lang w:val="zh-CN"/>
        </w:rPr>
      </w:pPr>
      <w:r>
        <w:rPr>
          <w:rFonts w:hint="eastAsia" w:ascii="宋体" w:hAnsi="宋体" w:cs="宋体"/>
          <w:kern w:val="0"/>
          <w:sz w:val="24"/>
          <w:lang w:val="zh-CN"/>
        </w:rPr>
        <w:t>本承诺是采购项目磋商响应文件的组成部分。</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tabs>
          <w:tab w:val="left" w:pos="168"/>
        </w:tabs>
        <w:adjustRightInd w:val="0"/>
        <w:spacing w:line="360" w:lineRule="auto"/>
        <w:textAlignment w:val="baseline"/>
        <w:outlineLvl w:val="9"/>
        <w:rPr>
          <w:rFonts w:ascii="宋体" w:hAnsi="宋体"/>
          <w:bCs/>
          <w:sz w:val="24"/>
        </w:rPr>
      </w:pPr>
      <w:bookmarkStart w:id="91" w:name="_Toc444715739"/>
      <w:bookmarkStart w:id="92" w:name="_Toc17097"/>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ind w:left="709" w:hanging="709"/>
        <w:outlineLvl w:val="1"/>
        <w:rPr>
          <w:rFonts w:hAnsi="宋体" w:cs="宋体"/>
          <w:sz w:val="24"/>
          <w:szCs w:val="24"/>
          <w:lang w:val="zh-CN"/>
        </w:rPr>
      </w:pPr>
      <w:r>
        <w:rPr>
          <w:rFonts w:hAnsi="宋体"/>
          <w:bCs/>
          <w:sz w:val="24"/>
          <w:szCs w:val="24"/>
        </w:rPr>
        <w:br w:type="page"/>
      </w:r>
      <w:bookmarkStart w:id="93" w:name="_Toc5963"/>
      <w:r>
        <w:rPr>
          <w:rFonts w:hint="eastAsia" w:hAnsi="宋体"/>
          <w:b/>
          <w:sz w:val="24"/>
          <w:szCs w:val="24"/>
          <w:lang w:val="zh-CN"/>
        </w:rPr>
        <w:t>格式6、资格证明材料</w:t>
      </w:r>
      <w:bookmarkEnd w:id="91"/>
      <w:bookmarkEnd w:id="92"/>
      <w:bookmarkEnd w:id="93"/>
    </w:p>
    <w:p>
      <w:pPr>
        <w:spacing w:line="360" w:lineRule="auto"/>
        <w:outlineLvl w:val="9"/>
        <w:rPr>
          <w:rFonts w:ascii="宋体" w:hAnsi="宋体"/>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资格证明材料</w:t>
      </w:r>
    </w:p>
    <w:p>
      <w:pPr>
        <w:spacing w:line="360" w:lineRule="auto"/>
        <w:ind w:firstLine="424" w:firstLineChars="177"/>
        <w:outlineLvl w:val="9"/>
        <w:rPr>
          <w:rFonts w:ascii="宋体" w:hAnsi="宋体" w:cs="Arial"/>
          <w:sz w:val="24"/>
        </w:rPr>
      </w:pPr>
      <w:r>
        <w:rPr>
          <w:rFonts w:ascii="宋体" w:hAnsi="宋体" w:cs="Arial"/>
          <w:sz w:val="24"/>
        </w:rPr>
        <w:t>资格证明材料包括：</w:t>
      </w:r>
    </w:p>
    <w:p>
      <w:pPr>
        <w:spacing w:line="360" w:lineRule="auto"/>
        <w:outlineLvl w:val="9"/>
        <w:rPr>
          <w:rFonts w:ascii="宋体" w:hAnsi="宋体" w:cs="Arial"/>
          <w:sz w:val="24"/>
        </w:rPr>
      </w:pPr>
      <w:r>
        <w:rPr>
          <w:rFonts w:ascii="宋体" w:hAnsi="宋体" w:cs="Arial"/>
          <w:sz w:val="24"/>
        </w:rPr>
        <w:t>（1）单位法人营业执照、税务登记证、组织机构代码证；</w:t>
      </w:r>
    </w:p>
    <w:p>
      <w:pPr>
        <w:spacing w:line="360" w:lineRule="auto"/>
        <w:outlineLvl w:val="9"/>
        <w:rPr>
          <w:rFonts w:ascii="宋体" w:hAnsi="宋体" w:cs="Arial"/>
          <w:sz w:val="24"/>
        </w:rPr>
      </w:pPr>
      <w:r>
        <w:rPr>
          <w:rFonts w:ascii="宋体" w:hAnsi="宋体" w:cs="Arial"/>
          <w:sz w:val="24"/>
        </w:rPr>
        <w:t>（2）磋商文件规定的有关资格证书、许可证书、认证等；</w:t>
      </w:r>
    </w:p>
    <w:p>
      <w:pPr>
        <w:spacing w:line="360" w:lineRule="auto"/>
        <w:outlineLvl w:val="9"/>
        <w:rPr>
          <w:rFonts w:ascii="宋体" w:hAnsi="宋体" w:cs="Arial"/>
          <w:sz w:val="24"/>
        </w:rPr>
      </w:pPr>
      <w:r>
        <w:rPr>
          <w:rFonts w:ascii="宋体" w:hAnsi="宋体" w:cs="Arial"/>
          <w:sz w:val="24"/>
        </w:rPr>
        <w:t>（3）供应商简介及获得相关证书证明文件；</w:t>
      </w:r>
    </w:p>
    <w:p>
      <w:pPr>
        <w:spacing w:line="360" w:lineRule="auto"/>
        <w:outlineLvl w:val="9"/>
        <w:rPr>
          <w:rFonts w:ascii="宋体" w:hAnsi="宋体" w:cs="Arial"/>
          <w:sz w:val="24"/>
        </w:rPr>
      </w:pPr>
      <w:r>
        <w:rPr>
          <w:rFonts w:ascii="宋体" w:hAnsi="宋体" w:cs="Arial"/>
          <w:sz w:val="24"/>
        </w:rPr>
        <w:t>（4）供应商认为有必要提供的其他资格证明文件。</w:t>
      </w:r>
    </w:p>
    <w:p>
      <w:pPr>
        <w:numPr>
          <w:ilvl w:val="0"/>
          <w:numId w:val="0"/>
        </w:numPr>
        <w:tabs>
          <w:tab w:val="left" w:pos="425"/>
          <w:tab w:val="left" w:pos="720"/>
          <w:tab w:val="left" w:pos="1985"/>
          <w:tab w:val="left" w:pos="7088"/>
        </w:tabs>
        <w:ind w:left="709" w:hanging="709"/>
        <w:outlineLvl w:val="1"/>
        <w:rPr>
          <w:rFonts w:hAnsi="宋体"/>
          <w:sz w:val="24"/>
          <w:szCs w:val="24"/>
          <w:lang w:val="zh-CN"/>
        </w:rPr>
      </w:pPr>
      <w:r>
        <w:rPr>
          <w:rFonts w:hAnsi="宋体" w:cs="宋体"/>
          <w:kern w:val="0"/>
          <w:sz w:val="24"/>
          <w:szCs w:val="24"/>
          <w:lang w:val="zh-CN"/>
        </w:rPr>
        <w:br w:type="page"/>
      </w:r>
      <w:bookmarkStart w:id="94" w:name="_Toc16454"/>
      <w:bookmarkStart w:id="95" w:name="_Toc444715740"/>
      <w:bookmarkStart w:id="96" w:name="_Toc20673"/>
      <w:r>
        <w:rPr>
          <w:rFonts w:hint="eastAsia" w:hAnsi="宋体"/>
          <w:b/>
          <w:sz w:val="24"/>
          <w:szCs w:val="24"/>
          <w:lang w:val="zh-CN"/>
        </w:rPr>
        <w:t>格式7、财务状况、缴纳税收和社会保障资金证明</w:t>
      </w:r>
      <w:bookmarkEnd w:id="94"/>
    </w:p>
    <w:p>
      <w:pPr>
        <w:spacing w:line="360" w:lineRule="auto"/>
        <w:outlineLvl w:val="9"/>
        <w:rPr>
          <w:rFonts w:ascii="宋体" w:hAnsi="宋体"/>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ascii="宋体" w:hAnsi="宋体" w:cs="宋体"/>
          <w:b/>
          <w:bCs/>
          <w:kern w:val="0"/>
          <w:sz w:val="24"/>
          <w:lang w:val="zh-CN"/>
        </w:rPr>
        <w:t>财务状况、缴纳税收和社会保障资金证明</w:t>
      </w:r>
    </w:p>
    <w:p>
      <w:pPr>
        <w:autoSpaceDE w:val="0"/>
        <w:autoSpaceDN w:val="0"/>
        <w:spacing w:line="360" w:lineRule="auto"/>
        <w:outlineLvl w:val="9"/>
        <w:rPr>
          <w:rFonts w:ascii="宋体" w:hAnsi="宋体" w:cs="Arial"/>
          <w:sz w:val="24"/>
          <w:lang w:val="zh-CN"/>
        </w:rPr>
      </w:pPr>
    </w:p>
    <w:p>
      <w:pPr>
        <w:spacing w:line="360" w:lineRule="auto"/>
        <w:ind w:firstLine="480" w:firstLineChars="200"/>
        <w:outlineLvl w:val="9"/>
        <w:rPr>
          <w:rFonts w:ascii="宋体" w:hAnsi="宋体" w:cs="宋体"/>
          <w:sz w:val="24"/>
        </w:rPr>
      </w:pPr>
      <w:r>
        <w:rPr>
          <w:rFonts w:ascii="宋体" w:hAnsi="宋体" w:cs="宋体"/>
          <w:sz w:val="24"/>
        </w:rPr>
        <w:t>按照磋商文件第2.2款（1）中规定提供以下相关材料。</w:t>
      </w:r>
    </w:p>
    <w:p>
      <w:pPr>
        <w:pStyle w:val="45"/>
        <w:numPr>
          <w:ilvl w:val="1"/>
          <w:numId w:val="26"/>
        </w:numPr>
        <w:spacing w:line="360" w:lineRule="auto"/>
        <w:ind w:left="851" w:hanging="360" w:firstLineChars="0"/>
        <w:outlineLvl w:val="9"/>
        <w:rPr>
          <w:rFonts w:ascii="宋体" w:hAnsi="宋体" w:cs="宋体"/>
          <w:color w:val="000000" w:themeColor="text1"/>
          <w:sz w:val="24"/>
          <w14:textFill>
            <w14:solidFill>
              <w14:schemeClr w14:val="tx1"/>
            </w14:solidFill>
          </w14:textFill>
        </w:rPr>
      </w:pPr>
      <w:r>
        <w:rPr>
          <w:rFonts w:hint="eastAsia" w:ascii="宋体" w:hAnsi="宋体" w:cs="宋体"/>
          <w:kern w:val="0"/>
          <w:sz w:val="24"/>
          <w:lang w:val="zh-CN"/>
        </w:rPr>
        <w:t>供应商基本开户银行近三个月内出具的资信证明或经第三方机构出具的202</w:t>
      </w:r>
      <w:r>
        <w:rPr>
          <w:rFonts w:hint="eastAsia" w:ascii="宋体" w:hAnsi="宋体" w:cs="宋体"/>
          <w:kern w:val="0"/>
          <w:sz w:val="24"/>
          <w:lang w:val="en-US" w:eastAsia="zh-CN"/>
        </w:rPr>
        <w:t>2</w:t>
      </w:r>
      <w:r>
        <w:rPr>
          <w:rFonts w:hint="eastAsia" w:ascii="宋体" w:hAnsi="宋体" w:cs="宋体"/>
          <w:kern w:val="0"/>
          <w:sz w:val="24"/>
          <w:lang w:val="zh-CN"/>
        </w:rPr>
        <w:t>年度财务状况审计报告（扫描或复</w:t>
      </w:r>
      <w:r>
        <w:rPr>
          <w:rFonts w:hint="eastAsia" w:ascii="宋体" w:hAnsi="宋体" w:cs="宋体"/>
          <w:color w:val="000000" w:themeColor="text1"/>
          <w:kern w:val="0"/>
          <w:sz w:val="24"/>
          <w:lang w:val="zh-CN"/>
          <w14:textFill>
            <w14:solidFill>
              <w14:schemeClr w14:val="tx1"/>
            </w14:solidFill>
          </w14:textFill>
        </w:rPr>
        <w:t>印件应全面、完整、清晰），包括资产负债表、现金流量表、利润表和财务（会计）报表附注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并提供第三方机构的营业执照、执业证书。</w:t>
      </w:r>
    </w:p>
    <w:p>
      <w:pPr>
        <w:pStyle w:val="45"/>
        <w:numPr>
          <w:ilvl w:val="1"/>
          <w:numId w:val="26"/>
        </w:numPr>
        <w:spacing w:line="360" w:lineRule="auto"/>
        <w:ind w:left="851" w:hanging="360" w:firstLineChars="0"/>
        <w:outlineLvl w:val="9"/>
        <w:rPr>
          <w:rFonts w:ascii="宋体" w:hAnsi="宋体" w:cs="宋体"/>
          <w:sz w:val="24"/>
        </w:rPr>
      </w:pPr>
      <w:r>
        <w:rPr>
          <w:rFonts w:hint="eastAsia" w:ascii="宋体" w:hAnsi="宋体" w:cs="宋体"/>
          <w:color w:val="000000" w:themeColor="text1"/>
          <w:kern w:val="0"/>
          <w:sz w:val="24"/>
          <w:lang w:val="zh-CN"/>
          <w14:textFill>
            <w14:solidFill>
              <w14:schemeClr w14:val="tx1"/>
            </w14:solidFill>
          </w14:textFill>
        </w:rPr>
        <w:t>近半年内任意三个月依法缴纳税收和社会保障资金记录的证明材料；依法免税或不需要缴纳社会保障资金的投标人须提供相应文件</w:t>
      </w:r>
      <w:r>
        <w:rPr>
          <w:rFonts w:hint="eastAsia" w:ascii="宋体" w:hAnsi="宋体" w:cs="宋体"/>
          <w:kern w:val="0"/>
          <w:sz w:val="24"/>
          <w:lang w:val="zh-CN"/>
        </w:rPr>
        <w:t>证明其依法免税或不需要缴纳社会保障资金。</w:t>
      </w:r>
    </w:p>
    <w:p>
      <w:pPr>
        <w:numPr>
          <w:ilvl w:val="0"/>
          <w:numId w:val="0"/>
        </w:numPr>
        <w:tabs>
          <w:tab w:val="left" w:pos="425"/>
          <w:tab w:val="left" w:pos="720"/>
          <w:tab w:val="left" w:pos="1985"/>
          <w:tab w:val="left" w:pos="7088"/>
        </w:tabs>
        <w:outlineLvl w:val="1"/>
        <w:rPr>
          <w:rFonts w:hAnsi="宋体"/>
          <w:sz w:val="24"/>
          <w:szCs w:val="24"/>
          <w:lang w:val="zh-CN"/>
        </w:rPr>
      </w:pPr>
      <w:r>
        <w:rPr>
          <w:rFonts w:hAnsi="宋体"/>
          <w:b/>
          <w:sz w:val="24"/>
          <w:szCs w:val="24"/>
          <w:lang w:val="zh-CN"/>
        </w:rPr>
        <w:br w:type="page"/>
      </w:r>
      <w:bookmarkStart w:id="97" w:name="_Toc30800"/>
      <w:r>
        <w:rPr>
          <w:rFonts w:hint="eastAsia" w:hAnsi="宋体"/>
          <w:b/>
          <w:sz w:val="24"/>
          <w:szCs w:val="24"/>
          <w:lang w:val="zh-CN"/>
        </w:rPr>
        <w:t>格式8、具备履行合同所必须的设备和专业技术能力证明</w:t>
      </w:r>
      <w:bookmarkEnd w:id="97"/>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具备履行合同所必须的设备和专业技术能力证明</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ind w:firstLine="480"/>
        <w:outlineLvl w:val="9"/>
        <w:rPr>
          <w:rFonts w:ascii="宋体" w:hAnsi="宋体" w:cs="宋体"/>
          <w:kern w:val="0"/>
          <w:sz w:val="24"/>
          <w:lang w:val="zh-CN"/>
        </w:rPr>
      </w:pPr>
      <w:r>
        <w:rPr>
          <w:rFonts w:ascii="宋体" w:hAnsi="宋体" w:cs="宋体"/>
          <w:kern w:val="0"/>
          <w:sz w:val="24"/>
          <w:lang w:val="zh-CN"/>
        </w:rPr>
        <w:t>为保证本项目合同的顺利履行，投标人必须具备履行合同的设备和专业技术能力，</w:t>
      </w:r>
      <w:r>
        <w:rPr>
          <w:rFonts w:hint="eastAsia" w:ascii="宋体" w:hAnsi="宋体" w:cs="宋体"/>
          <w:kern w:val="0"/>
          <w:sz w:val="24"/>
          <w:lang w:val="zh-CN"/>
        </w:rPr>
        <w:t>须提供履行合同的设备和专业技术能力的承诺函（格式自拟），</w:t>
      </w:r>
      <w:r>
        <w:rPr>
          <w:rFonts w:ascii="宋体" w:hAnsi="宋体" w:cs="宋体"/>
          <w:kern w:val="0"/>
          <w:sz w:val="24"/>
          <w:lang w:val="zh-CN"/>
        </w:rPr>
        <w:t>须提供相关人员的证书</w:t>
      </w:r>
      <w:r>
        <w:rPr>
          <w:rFonts w:hint="eastAsia" w:ascii="宋体" w:hAnsi="宋体" w:cs="宋体"/>
          <w:kern w:val="0"/>
          <w:sz w:val="24"/>
          <w:lang w:val="zh-CN"/>
        </w:rPr>
        <w:t>或</w:t>
      </w:r>
      <w:r>
        <w:rPr>
          <w:rFonts w:ascii="宋体" w:hAnsi="宋体" w:cs="宋体"/>
          <w:kern w:val="0"/>
          <w:sz w:val="24"/>
          <w:lang w:val="zh-CN"/>
        </w:rPr>
        <w:t>用工合同等证明材料。</w:t>
      </w:r>
    </w:p>
    <w:p>
      <w:pPr>
        <w:numPr>
          <w:ilvl w:val="0"/>
          <w:numId w:val="0"/>
        </w:numPr>
        <w:tabs>
          <w:tab w:val="left" w:pos="425"/>
          <w:tab w:val="left" w:pos="720"/>
          <w:tab w:val="left" w:pos="1985"/>
          <w:tab w:val="left" w:pos="7088"/>
        </w:tabs>
        <w:ind w:left="709" w:hanging="709"/>
        <w:outlineLvl w:val="1"/>
        <w:rPr>
          <w:rFonts w:hAnsi="宋体" w:cs="宋体"/>
          <w:sz w:val="24"/>
          <w:szCs w:val="24"/>
          <w:lang w:val="zh-CN"/>
        </w:rPr>
      </w:pPr>
      <w:r>
        <w:rPr>
          <w:rFonts w:hAnsi="宋体" w:cs="宋体"/>
          <w:kern w:val="0"/>
          <w:sz w:val="24"/>
          <w:szCs w:val="24"/>
          <w:lang w:val="zh-CN"/>
        </w:rPr>
        <w:br w:type="page"/>
      </w:r>
      <w:bookmarkStart w:id="98" w:name="_Toc12075"/>
      <w:r>
        <w:rPr>
          <w:rFonts w:hint="eastAsia" w:hAnsi="宋体"/>
          <w:b/>
          <w:sz w:val="24"/>
          <w:szCs w:val="24"/>
          <w:lang w:val="zh-CN"/>
        </w:rPr>
        <w:t>格式</w:t>
      </w:r>
      <w:bookmarkEnd w:id="95"/>
      <w:bookmarkEnd w:id="96"/>
      <w:r>
        <w:rPr>
          <w:rFonts w:hint="eastAsia" w:hAnsi="宋体"/>
          <w:b/>
          <w:sz w:val="24"/>
          <w:szCs w:val="24"/>
          <w:lang w:val="zh-CN"/>
        </w:rPr>
        <w:t>9、磋商保证金证明（</w:t>
      </w:r>
      <w:r>
        <w:rPr>
          <w:rFonts w:hint="eastAsia" w:hAnsi="宋体"/>
          <w:b/>
          <w:sz w:val="24"/>
          <w:szCs w:val="24"/>
          <w:lang w:val="en-US" w:eastAsia="zh-CN"/>
        </w:rPr>
        <w:t>本项目不适用</w:t>
      </w:r>
      <w:r>
        <w:rPr>
          <w:rFonts w:hint="eastAsia" w:hAnsi="宋体"/>
          <w:b/>
          <w:sz w:val="24"/>
          <w:szCs w:val="24"/>
          <w:lang w:val="zh-CN"/>
        </w:rPr>
        <w:t>）</w:t>
      </w:r>
      <w:bookmarkEnd w:id="98"/>
    </w:p>
    <w:p>
      <w:pPr>
        <w:spacing w:line="360" w:lineRule="auto"/>
        <w:outlineLvl w:val="9"/>
        <w:rPr>
          <w:rFonts w:ascii="宋体" w:hAnsi="宋体" w:cs="宋体"/>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磋商保证金证明（</w:t>
      </w:r>
      <w:r>
        <w:rPr>
          <w:rFonts w:hint="eastAsia" w:ascii="宋体" w:hAnsi="宋体" w:cs="宋体"/>
          <w:b/>
          <w:bCs/>
          <w:kern w:val="0"/>
          <w:sz w:val="24"/>
          <w:lang w:val="en-US" w:eastAsia="zh-CN"/>
        </w:rPr>
        <w:t>本项目不适用，可不提供此页内容</w:t>
      </w:r>
      <w:r>
        <w:rPr>
          <w:rFonts w:hint="eastAsia" w:ascii="宋体" w:hAnsi="宋体" w:cs="宋体"/>
          <w:b/>
          <w:bCs/>
          <w:kern w:val="0"/>
          <w:sz w:val="24"/>
          <w:lang w:val="zh-CN"/>
        </w:rPr>
        <w:t>）</w:t>
      </w:r>
    </w:p>
    <w:p>
      <w:pPr>
        <w:autoSpaceDE w:val="0"/>
        <w:autoSpaceDN w:val="0"/>
        <w:adjustRightInd w:val="0"/>
        <w:spacing w:line="360" w:lineRule="auto"/>
        <w:outlineLvl w:val="9"/>
        <w:rPr>
          <w:rFonts w:ascii="宋体" w:hAnsi="宋体" w:cs="宋体"/>
          <w:b/>
          <w:bCs/>
          <w:kern w:val="0"/>
          <w:sz w:val="24"/>
          <w:lang w:val="zh-CN"/>
        </w:rPr>
      </w:pPr>
      <w:bookmarkStart w:id="99" w:name="_Toc325726048"/>
      <w:bookmarkEnd w:id="99"/>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致：青海世瀚工程项目管理有限公司</w:t>
      </w:r>
    </w:p>
    <w:p>
      <w:pPr>
        <w:autoSpaceDE w:val="0"/>
        <w:autoSpaceDN w:val="0"/>
        <w:adjustRightInd w:val="0"/>
        <w:spacing w:line="360" w:lineRule="auto"/>
        <w:outlineLvl w:val="9"/>
        <w:rPr>
          <w:rFonts w:ascii="宋体" w:hAnsi="宋体" w:cs="宋体"/>
          <w:b/>
          <w:bCs/>
          <w:kern w:val="0"/>
          <w:sz w:val="24"/>
          <w:lang w:val="zh-CN"/>
        </w:rPr>
      </w:pPr>
    </w:p>
    <w:p>
      <w:pPr>
        <w:autoSpaceDE w:val="0"/>
        <w:autoSpaceDN w:val="0"/>
        <w:adjustRightInd w:val="0"/>
        <w:spacing w:line="360" w:lineRule="auto"/>
        <w:ind w:firstLine="360"/>
        <w:outlineLvl w:val="9"/>
        <w:rPr>
          <w:rFonts w:ascii="宋体" w:hAnsi="宋体" w:cs="宋体"/>
          <w:kern w:val="0"/>
          <w:sz w:val="24"/>
          <w:lang w:val="zh-CN"/>
        </w:rPr>
      </w:pPr>
      <w:r>
        <w:rPr>
          <w:rFonts w:hint="eastAsia" w:ascii="宋体" w:hAnsi="宋体" w:cs="宋体"/>
          <w:kern w:val="0"/>
          <w:sz w:val="24"/>
          <w:lang w:val="zh-CN"/>
        </w:rPr>
        <w:t>我方为（项目名称：            ）项目（采购编号为：           ）递交保证金人民币（大写：人民币          元）已于  年  月   日以基本户转账方式汇入你方账户。</w:t>
      </w:r>
    </w:p>
    <w:p>
      <w:pPr>
        <w:autoSpaceDE w:val="0"/>
        <w:autoSpaceDN w:val="0"/>
        <w:adjustRightInd w:val="0"/>
        <w:spacing w:line="360" w:lineRule="auto"/>
        <w:ind w:firstLine="360"/>
        <w:outlineLvl w:val="9"/>
        <w:rPr>
          <w:rFonts w:ascii="宋体" w:hAnsi="宋体" w:cs="宋体"/>
          <w:bCs/>
          <w:kern w:val="0"/>
          <w:sz w:val="24"/>
          <w:lang w:val="zh-CN"/>
        </w:rPr>
      </w:pPr>
      <w:r>
        <w:rPr>
          <w:rFonts w:hint="eastAsia" w:ascii="宋体" w:hAnsi="宋体" w:cs="宋体"/>
          <w:bCs/>
          <w:kern w:val="0"/>
          <w:sz w:val="24"/>
          <w:lang w:val="zh-CN"/>
        </w:rPr>
        <w:t>附件：保证金交款证明及开户许可证复印件（加盖磋商供应商公章）</w:t>
      </w:r>
    </w:p>
    <w:p>
      <w:pPr>
        <w:autoSpaceDE w:val="0"/>
        <w:autoSpaceDN w:val="0"/>
        <w:adjustRightInd w:val="0"/>
        <w:spacing w:line="360" w:lineRule="auto"/>
        <w:ind w:firstLine="360"/>
        <w:outlineLvl w:val="9"/>
        <w:rPr>
          <w:rFonts w:ascii="宋体" w:hAnsi="宋体" w:cs="宋体"/>
          <w:kern w:val="0"/>
          <w:sz w:val="24"/>
          <w:lang w:val="zh-CN"/>
        </w:rPr>
      </w:pPr>
      <w:r>
        <w:rPr>
          <w:rFonts w:hint="eastAsia" w:ascii="宋体" w:hAnsi="宋体" w:cs="宋体"/>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360" w:lineRule="auto"/>
        <w:ind w:firstLine="360"/>
        <w:outlineLvl w:val="9"/>
        <w:rPr>
          <w:rFonts w:ascii="宋体" w:hAnsi="宋体" w:cs="宋体"/>
          <w:kern w:val="0"/>
          <w:sz w:val="24"/>
          <w:lang w:val="zh-CN"/>
        </w:rPr>
      </w:pPr>
      <w:r>
        <w:rPr>
          <w:rFonts w:hint="eastAsia" w:ascii="宋体" w:hAnsi="宋体" w:cs="宋体"/>
          <w:kern w:val="0"/>
          <w:sz w:val="24"/>
          <w:lang w:val="zh-CN"/>
        </w:rPr>
        <w:t>户    名：</w:t>
      </w:r>
    </w:p>
    <w:p>
      <w:pPr>
        <w:autoSpaceDE w:val="0"/>
        <w:autoSpaceDN w:val="0"/>
        <w:adjustRightInd w:val="0"/>
        <w:spacing w:line="360" w:lineRule="auto"/>
        <w:ind w:firstLine="360"/>
        <w:outlineLvl w:val="9"/>
        <w:rPr>
          <w:rFonts w:ascii="宋体" w:hAnsi="宋体" w:cs="宋体"/>
          <w:kern w:val="0"/>
          <w:sz w:val="24"/>
          <w:lang w:val="zh-CN"/>
        </w:rPr>
      </w:pPr>
      <w:r>
        <w:rPr>
          <w:rFonts w:hint="eastAsia" w:ascii="宋体" w:hAnsi="宋体" w:cs="宋体"/>
          <w:kern w:val="0"/>
          <w:sz w:val="24"/>
          <w:lang w:val="zh-CN"/>
        </w:rPr>
        <w:t>开户银行：</w:t>
      </w:r>
    </w:p>
    <w:p>
      <w:pPr>
        <w:autoSpaceDE w:val="0"/>
        <w:autoSpaceDN w:val="0"/>
        <w:adjustRightInd w:val="0"/>
        <w:spacing w:line="360" w:lineRule="auto"/>
        <w:ind w:firstLine="360"/>
        <w:outlineLvl w:val="9"/>
        <w:rPr>
          <w:rFonts w:ascii="宋体" w:hAnsi="宋体" w:cs="宋体"/>
          <w:kern w:val="0"/>
          <w:sz w:val="24"/>
          <w:lang w:val="zh-CN"/>
        </w:rPr>
      </w:pPr>
      <w:r>
        <w:rPr>
          <w:rFonts w:hint="eastAsia" w:ascii="宋体" w:hAnsi="宋体" w:cs="宋体"/>
          <w:kern w:val="0"/>
          <w:sz w:val="24"/>
          <w:lang w:val="zh-CN"/>
        </w:rPr>
        <w:t>开户帐号：</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outlineLvl w:val="9"/>
        <w:rPr>
          <w:rFonts w:ascii="宋体" w:hAnsi="宋体" w:cs="宋体"/>
          <w:kern w:val="0"/>
          <w:sz w:val="24"/>
          <w:lang w:val="zh-CN"/>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spacing w:line="360" w:lineRule="auto"/>
        <w:outlineLvl w:val="9"/>
        <w:rPr>
          <w:rFonts w:ascii="宋体" w:hAnsi="宋体"/>
          <w:sz w:val="24"/>
          <w:lang w:val="zh-CN"/>
        </w:rPr>
      </w:pPr>
    </w:p>
    <w:p>
      <w:pPr>
        <w:numPr>
          <w:ilvl w:val="0"/>
          <w:numId w:val="0"/>
        </w:numPr>
        <w:tabs>
          <w:tab w:val="left" w:pos="425"/>
          <w:tab w:val="left" w:pos="720"/>
          <w:tab w:val="left" w:pos="1985"/>
          <w:tab w:val="left" w:pos="7088"/>
        </w:tabs>
        <w:ind w:left="709" w:hanging="709"/>
        <w:outlineLvl w:val="1"/>
        <w:rPr>
          <w:rFonts w:hAnsi="宋体" w:cs="宋体"/>
          <w:sz w:val="24"/>
          <w:szCs w:val="24"/>
        </w:rPr>
      </w:pPr>
      <w:r>
        <w:rPr>
          <w:rFonts w:hAnsi="宋体" w:cs="宋体"/>
          <w:kern w:val="0"/>
          <w:sz w:val="24"/>
          <w:szCs w:val="24"/>
          <w:lang w:val="zh-CN"/>
        </w:rPr>
        <w:br w:type="page"/>
      </w:r>
      <w:bookmarkStart w:id="100" w:name="_Toc21450"/>
      <w:bookmarkStart w:id="101" w:name="_Toc428180589"/>
      <w:bookmarkStart w:id="102" w:name="_Toc17890"/>
      <w:bookmarkStart w:id="103" w:name="_Toc444715741"/>
      <w:r>
        <w:rPr>
          <w:rFonts w:hint="eastAsia" w:hAnsi="宋体"/>
          <w:b/>
          <w:sz w:val="24"/>
          <w:szCs w:val="24"/>
          <w:lang w:val="zh-CN"/>
        </w:rPr>
        <w:t>格式10、无重大违法记录声明</w:t>
      </w:r>
      <w:bookmarkEnd w:id="100"/>
      <w:bookmarkEnd w:id="101"/>
      <w:bookmarkEnd w:id="102"/>
      <w:bookmarkEnd w:id="103"/>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无重大违法记录声明</w:t>
      </w:r>
    </w:p>
    <w:p>
      <w:pPr>
        <w:autoSpaceDE w:val="0"/>
        <w:autoSpaceDN w:val="0"/>
        <w:adjustRightInd w:val="0"/>
        <w:spacing w:line="360" w:lineRule="auto"/>
        <w:outlineLvl w:val="9"/>
        <w:rPr>
          <w:rFonts w:ascii="宋体" w:hAnsi="宋体" w:cs="宋体"/>
          <w:kern w:val="0"/>
          <w:sz w:val="24"/>
          <w:lang w:val="zh-CN"/>
        </w:rPr>
      </w:pPr>
    </w:p>
    <w:p>
      <w:pPr>
        <w:spacing w:line="360" w:lineRule="auto"/>
        <w:ind w:firstLine="426" w:firstLineChars="177"/>
        <w:outlineLvl w:val="9"/>
        <w:rPr>
          <w:rFonts w:ascii="宋体" w:hAnsi="宋体" w:cs="Arial"/>
          <w:sz w:val="24"/>
        </w:rPr>
      </w:pPr>
      <w:r>
        <w:rPr>
          <w:rFonts w:hint="eastAsia" w:ascii="宋体" w:hAnsi="宋体" w:cs="宋体"/>
          <w:b/>
          <w:bCs/>
          <w:kern w:val="0"/>
          <w:sz w:val="24"/>
          <w:lang w:val="zh-CN"/>
        </w:rPr>
        <w:t>致：青海世瀚工程项目管理有限公司</w:t>
      </w:r>
    </w:p>
    <w:p>
      <w:pPr>
        <w:spacing w:line="360" w:lineRule="auto"/>
        <w:ind w:firstLine="424" w:firstLineChars="177"/>
        <w:outlineLvl w:val="9"/>
        <w:rPr>
          <w:rFonts w:ascii="宋体" w:hAnsi="宋体" w:cs="Arial"/>
          <w:sz w:val="24"/>
        </w:rPr>
      </w:pPr>
      <w:r>
        <w:rPr>
          <w:rFonts w:ascii="宋体" w:hAnsi="宋体" w:cs="Arial"/>
          <w:sz w:val="24"/>
        </w:rPr>
        <w:t>（供应商名称）郑重声明，我方参加本项目</w:t>
      </w:r>
      <w:r>
        <w:rPr>
          <w:rFonts w:hint="eastAsia" w:ascii="宋体" w:hAnsi="宋体" w:cs="Arial"/>
          <w:sz w:val="24"/>
        </w:rPr>
        <w:t>竞磋</w:t>
      </w:r>
      <w:r>
        <w:rPr>
          <w:rFonts w:ascii="宋体" w:hAnsi="宋体" w:cs="Arial"/>
          <w:sz w:val="24"/>
        </w:rPr>
        <w:t>活动前三年内无重大违法活动记录，符合《中华人民共和国政府采购法》规定的供应商资格条件。我方对此声明负全部法律责任。</w:t>
      </w: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r>
        <w:rPr>
          <w:rFonts w:ascii="宋体" w:hAnsi="宋体" w:cs="Arial"/>
          <w:sz w:val="24"/>
        </w:rPr>
        <w:t>特此声明。</w:t>
      </w: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color w:val="000000" w:themeColor="text1"/>
          <w:sz w:val="24"/>
          <w14:textFill>
            <w14:solidFill>
              <w14:schemeClr w14:val="tx1"/>
            </w14:solidFill>
          </w14:textFill>
        </w:rPr>
      </w:pPr>
      <w:r>
        <w:rPr>
          <w:rFonts w:hint="eastAsia" w:ascii="宋体" w:hAnsi="宋体"/>
          <w:sz w:val="24"/>
          <w:lang w:val="zh-CN"/>
        </w:rPr>
        <w:t>（提供“信用中国”网站的查询截图，提供“中国政府采购网”网</w:t>
      </w:r>
      <w:r>
        <w:rPr>
          <w:rFonts w:hint="eastAsia" w:ascii="宋体" w:hAnsi="宋体"/>
          <w:color w:val="000000" w:themeColor="text1"/>
          <w:sz w:val="24"/>
          <w:lang w:val="zh-CN"/>
          <w14:textFill>
            <w14:solidFill>
              <w14:schemeClr w14:val="tx1"/>
            </w14:solidFill>
          </w14:textFill>
        </w:rPr>
        <w:t>站的查询截图）</w:t>
      </w: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spacing w:line="360" w:lineRule="auto"/>
        <w:ind w:firstLine="424" w:firstLineChars="177"/>
        <w:outlineLvl w:val="9"/>
        <w:rPr>
          <w:rFonts w:ascii="宋体" w:hAnsi="宋体" w:cs="Arial"/>
          <w:sz w:val="24"/>
        </w:rPr>
      </w:pPr>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wordWrap w:val="0"/>
        <w:adjustRightInd w:val="0"/>
        <w:spacing w:line="360" w:lineRule="auto"/>
        <w:jc w:val="right"/>
        <w:textAlignment w:val="baseline"/>
        <w:outlineLvl w:val="9"/>
        <w:rPr>
          <w:rFonts w:ascii="宋体" w:hAnsi="宋体"/>
          <w:bCs/>
          <w:sz w:val="24"/>
        </w:rPr>
      </w:pPr>
      <w:r>
        <w:rPr>
          <w:rFonts w:hint="eastAsia" w:ascii="宋体" w:hAnsi="宋体"/>
          <w:bCs/>
          <w:sz w:val="24"/>
          <w:lang w:val="en-US" w:eastAsia="zh-CN"/>
        </w:rPr>
        <w:t xml:space="preserve">  </w:t>
      </w:r>
      <w:r>
        <w:rPr>
          <w:rFonts w:hint="eastAsia" w:ascii="宋体" w:hAnsi="宋体"/>
          <w:bCs/>
          <w:sz w:val="24"/>
        </w:rPr>
        <w:t>法定代表人或委托代理人：             （签字）</w:t>
      </w:r>
    </w:p>
    <w:p>
      <w:pPr>
        <w:spacing w:line="360" w:lineRule="auto"/>
        <w:ind w:firstLine="424" w:firstLineChars="177"/>
        <w:outlineLvl w:val="9"/>
        <w:rPr>
          <w:rFonts w:ascii="宋体" w:hAnsi="宋体" w:cs="Arial"/>
          <w:sz w:val="24"/>
        </w:rPr>
      </w:pPr>
      <w:r>
        <w:rPr>
          <w:rFonts w:hint="eastAsia" w:ascii="宋体" w:hAnsi="宋体"/>
          <w:bCs/>
          <w:sz w:val="24"/>
        </w:rPr>
        <w:t xml:space="preserve">                                      日期：                  年   月   日</w:t>
      </w:r>
    </w:p>
    <w:p>
      <w:pPr>
        <w:spacing w:line="360" w:lineRule="auto"/>
        <w:outlineLvl w:val="9"/>
        <w:rPr>
          <w:rFonts w:ascii="宋体" w:hAnsi="宋体"/>
          <w:b/>
          <w:sz w:val="24"/>
          <w:lang w:val="zh-CN"/>
        </w:rPr>
      </w:pPr>
      <w:r>
        <w:rPr>
          <w:rFonts w:ascii="宋体" w:hAnsi="宋体" w:cs="宋体"/>
          <w:kern w:val="0"/>
          <w:sz w:val="24"/>
          <w:lang w:val="zh-CN"/>
        </w:rPr>
        <w:br w:type="page"/>
      </w:r>
    </w:p>
    <w:p>
      <w:pPr>
        <w:numPr>
          <w:ilvl w:val="0"/>
          <w:numId w:val="0"/>
        </w:numPr>
        <w:tabs>
          <w:tab w:val="left" w:pos="425"/>
          <w:tab w:val="left" w:pos="720"/>
          <w:tab w:val="left" w:pos="1985"/>
          <w:tab w:val="left" w:pos="7088"/>
        </w:tabs>
        <w:ind w:left="709" w:hanging="709"/>
        <w:outlineLvl w:val="1"/>
        <w:rPr>
          <w:rFonts w:hAnsi="宋体"/>
          <w:sz w:val="24"/>
          <w:szCs w:val="24"/>
          <w:lang w:val="zh-CN"/>
        </w:rPr>
      </w:pPr>
      <w:bookmarkStart w:id="104" w:name="_Toc1879"/>
      <w:r>
        <w:rPr>
          <w:rFonts w:hint="eastAsia" w:hAnsi="宋体"/>
          <w:b/>
          <w:sz w:val="24"/>
          <w:szCs w:val="24"/>
          <w:lang w:val="zh-CN"/>
        </w:rPr>
        <w:t>格式11、</w:t>
      </w:r>
      <w:bookmarkStart w:id="105" w:name="_Toc487036155"/>
      <w:r>
        <w:rPr>
          <w:rFonts w:hint="eastAsia" w:hAnsi="宋体"/>
          <w:b/>
          <w:sz w:val="24"/>
          <w:szCs w:val="24"/>
        </w:rPr>
        <w:t>竞争性磋商首次报价表</w:t>
      </w:r>
      <w:bookmarkEnd w:id="104"/>
      <w:bookmarkEnd w:id="105"/>
    </w:p>
    <w:p>
      <w:pPr>
        <w:autoSpaceDE w:val="0"/>
        <w:autoSpaceDN w:val="0"/>
        <w:adjustRightInd w:val="0"/>
        <w:spacing w:line="360" w:lineRule="auto"/>
        <w:jc w:val="center"/>
        <w:outlineLvl w:val="9"/>
        <w:rPr>
          <w:rFonts w:hint="eastAsia" w:ascii="宋体" w:hAnsi="宋体"/>
          <w:b/>
          <w:sz w:val="24"/>
        </w:rPr>
      </w:pPr>
    </w:p>
    <w:p>
      <w:pPr>
        <w:autoSpaceDE w:val="0"/>
        <w:autoSpaceDN w:val="0"/>
        <w:adjustRightInd w:val="0"/>
        <w:spacing w:line="360" w:lineRule="auto"/>
        <w:jc w:val="center"/>
        <w:outlineLvl w:val="9"/>
        <w:rPr>
          <w:rFonts w:ascii="宋体" w:hAnsi="宋体"/>
          <w:b/>
          <w:sz w:val="24"/>
        </w:rPr>
      </w:pPr>
      <w:r>
        <w:rPr>
          <w:rFonts w:hint="eastAsia" w:ascii="宋体" w:hAnsi="宋体"/>
          <w:b/>
          <w:sz w:val="24"/>
        </w:rPr>
        <w:t>竞争性磋商首次报价表</w:t>
      </w:r>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 xml:space="preserve">采购项目名称:  </w:t>
      </w:r>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采购项目编号：</w:t>
      </w:r>
    </w:p>
    <w:p>
      <w:pPr>
        <w:autoSpaceDE w:val="0"/>
        <w:autoSpaceDN w:val="0"/>
        <w:spacing w:line="360" w:lineRule="auto"/>
        <w:outlineLvl w:val="9"/>
        <w:rPr>
          <w:rFonts w:ascii="宋体" w:hAnsi="宋体" w:cs="宋体"/>
          <w:b/>
          <w:bCs/>
          <w:sz w:val="24"/>
          <w:lang w:val="zh-CN"/>
        </w:rPr>
      </w:pPr>
      <w:r>
        <w:rPr>
          <w:rFonts w:hint="eastAsia" w:ascii="宋体" w:hAnsi="宋体" w:cs="宋体"/>
          <w:b/>
          <w:bCs/>
          <w:sz w:val="24"/>
          <w:lang w:val="zh-CN"/>
        </w:rPr>
        <w:t>供应商名称：</w:t>
      </w:r>
    </w:p>
    <w:p>
      <w:pPr>
        <w:autoSpaceDE w:val="0"/>
        <w:autoSpaceDN w:val="0"/>
        <w:spacing w:line="360" w:lineRule="auto"/>
        <w:jc w:val="right"/>
        <w:outlineLvl w:val="9"/>
        <w:rPr>
          <w:rFonts w:ascii="宋体" w:hAnsi="宋体" w:cs="宋体"/>
          <w:b/>
          <w:bCs/>
          <w:kern w:val="0"/>
          <w:sz w:val="24"/>
          <w:lang w:val="zh-CN"/>
        </w:rPr>
      </w:pPr>
    </w:p>
    <w:p>
      <w:pPr>
        <w:autoSpaceDE w:val="0"/>
        <w:autoSpaceDN w:val="0"/>
        <w:spacing w:line="360" w:lineRule="auto"/>
        <w:jc w:val="right"/>
        <w:outlineLvl w:val="9"/>
        <w:rPr>
          <w:rFonts w:ascii="宋体" w:hAnsi="宋体" w:cs="宋体"/>
          <w:bCs/>
          <w:kern w:val="0"/>
          <w:sz w:val="24"/>
          <w:lang w:val="zh-CN"/>
        </w:rPr>
      </w:pPr>
      <w:r>
        <w:rPr>
          <w:rFonts w:hint="eastAsia" w:ascii="宋体" w:hAnsi="宋体" w:cs="宋体"/>
          <w:bCs/>
          <w:kern w:val="0"/>
          <w:sz w:val="24"/>
          <w:lang w:val="zh-CN"/>
        </w:rPr>
        <w:t>单位：人民币（元）</w:t>
      </w:r>
    </w:p>
    <w:tbl>
      <w:tblPr>
        <w:tblStyle w:val="33"/>
        <w:tblW w:w="9968" w:type="dxa"/>
        <w:jc w:val="center"/>
        <w:shd w:val="clear" w:color="auto" w:fill="auto"/>
        <w:tblLayout w:type="fixed"/>
        <w:tblCellMar>
          <w:top w:w="0" w:type="dxa"/>
          <w:left w:w="108" w:type="dxa"/>
          <w:bottom w:w="0" w:type="dxa"/>
          <w:right w:w="108" w:type="dxa"/>
        </w:tblCellMar>
      </w:tblPr>
      <w:tblGrid>
        <w:gridCol w:w="3516"/>
        <w:gridCol w:w="2829"/>
        <w:gridCol w:w="2016"/>
        <w:gridCol w:w="1607"/>
      </w:tblGrid>
      <w:tr>
        <w:tblPrEx>
          <w:shd w:val="clear" w:color="auto" w:fill="auto"/>
          <w:tblCellMar>
            <w:top w:w="0" w:type="dxa"/>
            <w:left w:w="108" w:type="dxa"/>
            <w:bottom w:w="0" w:type="dxa"/>
            <w:right w:w="108" w:type="dxa"/>
          </w:tblCellMar>
        </w:tblPrEx>
        <w:trPr>
          <w:trHeight w:val="699" w:hRule="atLeast"/>
          <w:jc w:val="center"/>
        </w:trPr>
        <w:tc>
          <w:tcPr>
            <w:tcW w:w="351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r>
              <w:rPr>
                <w:rFonts w:ascii="宋体" w:hAnsi="宋体" w:cs="Arial"/>
                <w:bCs/>
                <w:sz w:val="24"/>
                <w:lang w:val="zh-CN"/>
              </w:rPr>
              <w:t>项目名称</w:t>
            </w:r>
          </w:p>
        </w:tc>
        <w:tc>
          <w:tcPr>
            <w:tcW w:w="28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482"/>
              <w:outlineLvl w:val="9"/>
              <w:rPr>
                <w:rFonts w:ascii="宋体" w:hAnsi="宋体" w:cs="Arial"/>
                <w:sz w:val="24"/>
                <w:lang w:val="zh-CN"/>
              </w:rPr>
            </w:pPr>
            <w:r>
              <w:rPr>
                <w:rFonts w:hint="eastAsia" w:ascii="宋体" w:hAnsi="宋体" w:cs="Arial"/>
                <w:bCs/>
                <w:sz w:val="24"/>
                <w:lang w:val="zh-CN"/>
              </w:rPr>
              <w:t>磋商首次</w:t>
            </w:r>
            <w:r>
              <w:rPr>
                <w:rFonts w:ascii="宋体" w:hAnsi="宋体" w:cs="Arial"/>
                <w:bCs/>
                <w:sz w:val="24"/>
                <w:lang w:val="zh-CN"/>
              </w:rPr>
              <w:t>报价</w:t>
            </w:r>
          </w:p>
        </w:tc>
        <w:tc>
          <w:tcPr>
            <w:tcW w:w="2016" w:type="dxa"/>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jc w:val="center"/>
              <w:outlineLvl w:val="9"/>
              <w:rPr>
                <w:rFonts w:ascii="宋体" w:hAnsi="宋体" w:cs="Arial"/>
                <w:bCs/>
                <w:sz w:val="24"/>
                <w:lang w:val="zh-CN"/>
              </w:rPr>
            </w:pPr>
            <w:r>
              <w:rPr>
                <w:rFonts w:ascii="宋体" w:hAnsi="宋体" w:cs="Arial"/>
                <w:bCs/>
                <w:sz w:val="24"/>
                <w:lang w:val="zh-CN"/>
              </w:rPr>
              <w:t>交货期</w:t>
            </w:r>
          </w:p>
        </w:tc>
        <w:tc>
          <w:tcPr>
            <w:tcW w:w="1607"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r>
              <w:rPr>
                <w:rFonts w:ascii="宋体" w:hAnsi="宋体" w:cs="Arial"/>
                <w:bCs/>
                <w:sz w:val="24"/>
                <w:lang w:val="zh-CN"/>
              </w:rPr>
              <w:t>备注</w:t>
            </w:r>
          </w:p>
        </w:tc>
      </w:tr>
      <w:tr>
        <w:tblPrEx>
          <w:shd w:val="clear" w:color="auto" w:fill="auto"/>
          <w:tblCellMar>
            <w:top w:w="0" w:type="dxa"/>
            <w:left w:w="108" w:type="dxa"/>
            <w:bottom w:w="0" w:type="dxa"/>
            <w:right w:w="108" w:type="dxa"/>
          </w:tblCellMar>
        </w:tblPrEx>
        <w:trPr>
          <w:trHeight w:val="993" w:hRule="atLeast"/>
          <w:jc w:val="center"/>
        </w:trPr>
        <w:tc>
          <w:tcPr>
            <w:tcW w:w="3516" w:type="dxa"/>
            <w:vMerge w:val="restart"/>
            <w:tcBorders>
              <w:top w:val="single" w:color="000000" w:sz="6" w:space="0"/>
              <w:left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28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outlineLvl w:val="9"/>
              <w:rPr>
                <w:rFonts w:ascii="宋体" w:hAnsi="宋体" w:cs="Arial"/>
                <w:sz w:val="24"/>
                <w:lang w:val="zh-CN"/>
              </w:rPr>
            </w:pPr>
            <w:r>
              <w:rPr>
                <w:rFonts w:ascii="宋体" w:hAnsi="宋体" w:cs="Arial"/>
                <w:bCs/>
                <w:sz w:val="24"/>
                <w:lang w:val="zh-CN"/>
              </w:rPr>
              <w:t>大写：</w:t>
            </w:r>
          </w:p>
        </w:tc>
        <w:tc>
          <w:tcPr>
            <w:tcW w:w="2016" w:type="dxa"/>
            <w:vMerge w:val="restart"/>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ind w:firstLine="197"/>
              <w:jc w:val="center"/>
              <w:outlineLvl w:val="9"/>
              <w:rPr>
                <w:rFonts w:ascii="宋体" w:hAnsi="宋体" w:cs="Arial"/>
                <w:sz w:val="24"/>
                <w:lang w:val="zh-CN"/>
              </w:rPr>
            </w:pPr>
          </w:p>
        </w:tc>
        <w:tc>
          <w:tcPr>
            <w:tcW w:w="16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r>
      <w:tr>
        <w:tblPrEx>
          <w:shd w:val="clear" w:color="auto" w:fill="auto"/>
          <w:tblCellMar>
            <w:top w:w="0" w:type="dxa"/>
            <w:left w:w="108" w:type="dxa"/>
            <w:bottom w:w="0" w:type="dxa"/>
            <w:right w:w="108" w:type="dxa"/>
          </w:tblCellMar>
        </w:tblPrEx>
        <w:trPr>
          <w:trHeight w:val="845" w:hRule="atLeast"/>
          <w:jc w:val="center"/>
        </w:trPr>
        <w:tc>
          <w:tcPr>
            <w:tcW w:w="3516" w:type="dxa"/>
            <w:vMerge w:val="continue"/>
            <w:tcBorders>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28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outlineLvl w:val="9"/>
              <w:rPr>
                <w:rFonts w:ascii="宋体" w:hAnsi="宋体" w:cs="Arial"/>
                <w:sz w:val="24"/>
                <w:lang w:val="zh-CN"/>
              </w:rPr>
            </w:pPr>
            <w:r>
              <w:rPr>
                <w:rFonts w:ascii="宋体" w:hAnsi="宋体" w:cs="Arial"/>
                <w:bCs/>
                <w:sz w:val="24"/>
                <w:lang w:val="zh-CN"/>
              </w:rPr>
              <w:t>小写：</w:t>
            </w:r>
          </w:p>
        </w:tc>
        <w:tc>
          <w:tcPr>
            <w:tcW w:w="2016" w:type="dxa"/>
            <w:vMerge w:val="continue"/>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16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r>
    </w:tbl>
    <w:p>
      <w:pPr>
        <w:autoSpaceDE w:val="0"/>
        <w:autoSpaceDN w:val="0"/>
        <w:spacing w:line="360" w:lineRule="auto"/>
        <w:outlineLvl w:val="9"/>
        <w:rPr>
          <w:rFonts w:ascii="宋体" w:hAnsi="宋体" w:cs="Arial"/>
          <w:b/>
          <w:sz w:val="24"/>
          <w:lang w:val="zh-CN"/>
        </w:rPr>
      </w:pPr>
      <w:r>
        <w:rPr>
          <w:rFonts w:ascii="宋体" w:hAnsi="宋体" w:cs="Arial"/>
          <w:b/>
          <w:bCs/>
          <w:sz w:val="24"/>
          <w:lang w:val="zh-CN"/>
        </w:rPr>
        <w:t>注：</w:t>
      </w:r>
      <w:r>
        <w:rPr>
          <w:rFonts w:ascii="宋体" w:hAnsi="宋体" w:cs="Arial"/>
          <w:b/>
          <w:sz w:val="24"/>
          <w:lang w:val="zh-CN"/>
        </w:rPr>
        <w:t>1</w:t>
      </w:r>
      <w:r>
        <w:rPr>
          <w:rFonts w:hint="eastAsia" w:ascii="宋体" w:hAnsi="宋体" w:cs="Arial"/>
          <w:b/>
          <w:sz w:val="24"/>
          <w:lang w:val="zh-CN"/>
        </w:rPr>
        <w:t>、</w:t>
      </w:r>
      <w:r>
        <w:rPr>
          <w:rFonts w:ascii="宋体" w:hAnsi="宋体" w:cs="Arial"/>
          <w:b/>
          <w:sz w:val="24"/>
          <w:lang w:val="zh-CN"/>
        </w:rPr>
        <w:t>填写此表时不得改变表格形式。</w:t>
      </w:r>
    </w:p>
    <w:p>
      <w:pPr>
        <w:spacing w:line="360" w:lineRule="auto"/>
        <w:ind w:firstLine="465" w:firstLineChars="193"/>
        <w:outlineLvl w:val="9"/>
        <w:rPr>
          <w:rFonts w:ascii="宋体" w:hAnsi="宋体" w:cs="Arial"/>
          <w:b/>
          <w:sz w:val="24"/>
          <w:lang w:val="zh-CN"/>
        </w:rPr>
      </w:pPr>
      <w:r>
        <w:rPr>
          <w:rFonts w:ascii="宋体" w:hAnsi="宋体" w:cs="Arial"/>
          <w:b/>
          <w:sz w:val="24"/>
          <w:lang w:val="zh-CN"/>
        </w:rPr>
        <w:t>2</w:t>
      </w:r>
      <w:r>
        <w:rPr>
          <w:rFonts w:hint="eastAsia" w:ascii="宋体" w:hAnsi="宋体" w:cs="Arial"/>
          <w:b/>
          <w:sz w:val="24"/>
          <w:lang w:val="zh-CN"/>
        </w:rPr>
        <w:t>、“</w:t>
      </w:r>
      <w:r>
        <w:rPr>
          <w:rFonts w:ascii="宋体" w:hAnsi="宋体" w:cs="Arial"/>
          <w:b/>
          <w:sz w:val="24"/>
          <w:lang w:val="zh-CN"/>
        </w:rPr>
        <w:t>磋商报价</w:t>
      </w:r>
      <w:r>
        <w:rPr>
          <w:rFonts w:hint="eastAsia" w:ascii="宋体" w:hAnsi="宋体" w:cs="Arial"/>
          <w:b/>
          <w:sz w:val="24"/>
          <w:lang w:val="zh-CN"/>
        </w:rPr>
        <w:t>”</w:t>
      </w:r>
      <w:r>
        <w:rPr>
          <w:rFonts w:ascii="宋体" w:hAnsi="宋体" w:cs="Arial"/>
          <w:b/>
          <w:sz w:val="24"/>
          <w:lang w:val="zh-CN"/>
        </w:rPr>
        <w:t>为磋商总价。</w:t>
      </w:r>
      <w:r>
        <w:rPr>
          <w:rFonts w:hint="eastAsia" w:ascii="宋体" w:hAnsi="宋体" w:cs="Arial"/>
          <w:b/>
          <w:sz w:val="24"/>
          <w:lang w:val="zh-CN"/>
        </w:rPr>
        <w:t>磋商报价必须包括：产品费、检验费、手续费、保险费、售后服务费、税金、招标代理费以及其他不可预见费等全部费用。</w:t>
      </w:r>
    </w:p>
    <w:p>
      <w:pPr>
        <w:spacing w:line="360" w:lineRule="auto"/>
        <w:ind w:firstLine="465" w:firstLineChars="193"/>
        <w:outlineLvl w:val="9"/>
        <w:rPr>
          <w:rFonts w:ascii="宋体" w:hAnsi="宋体" w:cs="宋体"/>
          <w:b/>
          <w:bCs/>
          <w:kern w:val="0"/>
          <w:sz w:val="24"/>
          <w:lang w:val="zh-CN"/>
        </w:rPr>
      </w:pPr>
      <w:r>
        <w:rPr>
          <w:rFonts w:ascii="宋体" w:hAnsi="宋体" w:cs="Arial"/>
          <w:b/>
          <w:sz w:val="24"/>
          <w:lang w:val="zh-CN"/>
        </w:rPr>
        <w:t>3</w:t>
      </w:r>
      <w:r>
        <w:rPr>
          <w:rFonts w:hint="eastAsia" w:ascii="宋体" w:hAnsi="宋体" w:cs="Arial"/>
          <w:b/>
          <w:sz w:val="24"/>
          <w:lang w:val="zh-CN"/>
        </w:rPr>
        <w:t>、“</w:t>
      </w:r>
      <w:r>
        <w:rPr>
          <w:rFonts w:ascii="宋体" w:hAnsi="宋体" w:cs="Arial"/>
          <w:b/>
          <w:sz w:val="24"/>
          <w:lang w:val="zh-CN"/>
        </w:rPr>
        <w:t>交货</w:t>
      </w:r>
      <w:r>
        <w:rPr>
          <w:rFonts w:hint="eastAsia" w:ascii="宋体" w:hAnsi="宋体" w:cs="Arial"/>
          <w:b/>
          <w:sz w:val="24"/>
          <w:lang w:val="zh-CN"/>
        </w:rPr>
        <w:t>期”是指产品能够交付使用的具体时间。</w:t>
      </w:r>
    </w:p>
    <w:p>
      <w:pPr>
        <w:spacing w:line="360" w:lineRule="auto"/>
        <w:ind w:firstLine="465" w:firstLineChars="193"/>
        <w:outlineLvl w:val="9"/>
        <w:rPr>
          <w:rFonts w:ascii="宋体" w:hAnsi="宋体" w:cs="Arial"/>
          <w:b/>
          <w:sz w:val="24"/>
          <w:lang w:val="zh-CN"/>
        </w:rPr>
      </w:pPr>
      <w:r>
        <w:rPr>
          <w:rFonts w:ascii="宋体" w:hAnsi="宋体" w:cs="Arial"/>
          <w:b/>
          <w:sz w:val="24"/>
          <w:lang w:val="zh-CN"/>
        </w:rPr>
        <w:t>4</w:t>
      </w:r>
      <w:r>
        <w:rPr>
          <w:rFonts w:hint="eastAsia" w:ascii="宋体" w:hAnsi="宋体" w:cs="Arial"/>
          <w:b/>
          <w:sz w:val="24"/>
          <w:lang w:val="zh-CN"/>
        </w:rPr>
        <w:t>、</w:t>
      </w:r>
      <w:r>
        <w:rPr>
          <w:rFonts w:ascii="宋体" w:hAnsi="宋体" w:cs="Arial"/>
          <w:b/>
          <w:sz w:val="24"/>
          <w:lang w:val="zh-CN"/>
        </w:rPr>
        <w:t>磋商报价不能有两个或两个以上的报价方案。</w:t>
      </w:r>
    </w:p>
    <w:p>
      <w:pPr>
        <w:spacing w:line="360" w:lineRule="auto"/>
        <w:ind w:firstLine="465" w:firstLineChars="193"/>
        <w:outlineLvl w:val="9"/>
        <w:rPr>
          <w:rFonts w:ascii="宋体" w:hAnsi="宋体" w:cs="宋体"/>
          <w:b/>
          <w:bCs/>
          <w:kern w:val="0"/>
          <w:sz w:val="24"/>
          <w:lang w:val="zh-CN"/>
        </w:rPr>
      </w:pPr>
    </w:p>
    <w:p>
      <w:pPr>
        <w:spacing w:line="360" w:lineRule="auto"/>
        <w:outlineLvl w:val="9"/>
        <w:rPr>
          <w:rFonts w:ascii="宋体" w:hAnsi="宋体" w:cs="宋体"/>
          <w:b/>
          <w:bCs/>
          <w:kern w:val="0"/>
          <w:sz w:val="24"/>
          <w:lang w:val="zh-CN"/>
        </w:rPr>
      </w:pPr>
    </w:p>
    <w:p>
      <w:pPr>
        <w:spacing w:line="360" w:lineRule="auto"/>
        <w:ind w:firstLine="465" w:firstLineChars="193"/>
        <w:outlineLvl w:val="9"/>
        <w:rPr>
          <w:rFonts w:ascii="宋体" w:hAnsi="宋体" w:cs="宋体"/>
          <w:b/>
          <w:bCs/>
          <w:kern w:val="0"/>
          <w:sz w:val="24"/>
          <w:lang w:val="zh-CN"/>
        </w:rPr>
      </w:pPr>
    </w:p>
    <w:p>
      <w:pPr>
        <w:spacing w:line="360" w:lineRule="auto"/>
        <w:ind w:firstLine="465" w:firstLineChars="193"/>
        <w:outlineLvl w:val="9"/>
        <w:rPr>
          <w:rFonts w:ascii="宋体" w:hAnsi="宋体" w:cs="宋体"/>
          <w:b/>
          <w:bCs/>
          <w:kern w:val="0"/>
          <w:sz w:val="24"/>
          <w:lang w:val="zh-CN"/>
        </w:rPr>
      </w:pPr>
    </w:p>
    <w:p>
      <w:pPr>
        <w:spacing w:line="360" w:lineRule="auto"/>
        <w:ind w:firstLine="465" w:firstLineChars="193"/>
        <w:outlineLvl w:val="9"/>
        <w:rPr>
          <w:rFonts w:ascii="宋体" w:hAnsi="宋体" w:cs="宋体"/>
          <w:b/>
          <w:bCs/>
          <w:kern w:val="0"/>
          <w:sz w:val="24"/>
          <w:lang w:val="zh-CN"/>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ind w:left="709" w:hanging="709"/>
        <w:outlineLvl w:val="1"/>
        <w:rPr>
          <w:rFonts w:hAnsi="宋体"/>
          <w:sz w:val="24"/>
          <w:szCs w:val="24"/>
          <w:lang w:val="zh-CN"/>
        </w:rPr>
      </w:pPr>
      <w:r>
        <w:rPr>
          <w:rFonts w:hAnsi="宋体"/>
          <w:bCs/>
          <w:sz w:val="24"/>
          <w:szCs w:val="24"/>
        </w:rPr>
        <w:br w:type="page"/>
      </w:r>
      <w:bookmarkStart w:id="106" w:name="_Toc19418"/>
      <w:r>
        <w:rPr>
          <w:rFonts w:hint="eastAsia" w:hAnsi="宋体"/>
          <w:b/>
          <w:sz w:val="24"/>
          <w:szCs w:val="24"/>
          <w:lang w:val="zh-CN"/>
        </w:rPr>
        <w:t>格式12、分项报价表</w:t>
      </w:r>
      <w:bookmarkEnd w:id="106"/>
    </w:p>
    <w:p>
      <w:pPr>
        <w:autoSpaceDE w:val="0"/>
        <w:autoSpaceDN w:val="0"/>
        <w:adjustRightInd w:val="0"/>
        <w:spacing w:line="360" w:lineRule="auto"/>
        <w:jc w:val="center"/>
        <w:outlineLvl w:val="9"/>
        <w:rPr>
          <w:rFonts w:hint="eastAsia" w:ascii="宋体" w:hAnsi="宋体" w:cs="宋体"/>
          <w:b/>
          <w:bCs/>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分项报价表</w:t>
      </w:r>
    </w:p>
    <w:p>
      <w:pPr>
        <w:spacing w:line="360" w:lineRule="auto"/>
        <w:outlineLvl w:val="9"/>
        <w:rPr>
          <w:rFonts w:ascii="宋体" w:hAnsi="宋体" w:cs="宋体"/>
          <w:b/>
          <w:bCs/>
          <w:kern w:val="0"/>
          <w:sz w:val="24"/>
          <w:lang w:val="zh-CN"/>
        </w:rPr>
      </w:pPr>
      <w:r>
        <w:rPr>
          <w:rFonts w:hint="eastAsia" w:ascii="宋体" w:hAnsi="宋体" w:cs="宋体"/>
          <w:b/>
          <w:bCs/>
          <w:kern w:val="0"/>
          <w:sz w:val="24"/>
          <w:lang w:val="zh-CN"/>
        </w:rPr>
        <w:t xml:space="preserve">采购项目名称:  </w:t>
      </w:r>
    </w:p>
    <w:p>
      <w:pPr>
        <w:autoSpaceDE w:val="0"/>
        <w:autoSpaceDN w:val="0"/>
        <w:spacing w:line="360" w:lineRule="auto"/>
        <w:outlineLvl w:val="9"/>
        <w:rPr>
          <w:rFonts w:hint="eastAsia" w:ascii="宋体" w:hAnsi="宋体" w:cs="宋体"/>
          <w:b/>
          <w:bCs/>
          <w:kern w:val="0"/>
          <w:sz w:val="24"/>
          <w:lang w:val="zh-CN"/>
        </w:rPr>
      </w:pPr>
      <w:r>
        <w:rPr>
          <w:rFonts w:hint="eastAsia" w:ascii="宋体" w:hAnsi="宋体" w:cs="宋体"/>
          <w:b/>
          <w:bCs/>
          <w:kern w:val="0"/>
          <w:sz w:val="24"/>
          <w:lang w:val="zh-CN"/>
        </w:rPr>
        <w:t>采购项目编号：</w:t>
      </w:r>
    </w:p>
    <w:p>
      <w:pPr>
        <w:autoSpaceDE w:val="0"/>
        <w:autoSpaceDN w:val="0"/>
        <w:spacing w:line="360" w:lineRule="auto"/>
        <w:outlineLvl w:val="9"/>
        <w:rPr>
          <w:rFonts w:ascii="宋体" w:hAnsi="宋体" w:cs="宋体"/>
          <w:b/>
          <w:bCs/>
          <w:kern w:val="0"/>
          <w:sz w:val="24"/>
          <w:lang w:val="zh-CN"/>
        </w:rPr>
      </w:pPr>
      <w:r>
        <w:rPr>
          <w:rFonts w:hint="eastAsia" w:ascii="宋体" w:hAnsi="宋体" w:cs="宋体"/>
          <w:b/>
          <w:bCs/>
          <w:sz w:val="24"/>
          <w:lang w:val="zh-CN"/>
        </w:rPr>
        <w:t>供应商名称：</w:t>
      </w:r>
    </w:p>
    <w:p>
      <w:pPr>
        <w:spacing w:line="360" w:lineRule="auto"/>
        <w:jc w:val="right"/>
        <w:outlineLvl w:val="9"/>
        <w:rPr>
          <w:rFonts w:ascii="宋体" w:hAnsi="宋体"/>
          <w:sz w:val="24"/>
          <w:lang w:val="zh-CN"/>
        </w:rPr>
      </w:pPr>
      <w:r>
        <w:rPr>
          <w:rFonts w:ascii="宋体" w:hAnsi="宋体" w:cs="宋体"/>
          <w:bCs/>
          <w:kern w:val="0"/>
          <w:sz w:val="24"/>
          <w:lang w:val="zh-CN"/>
        </w:rPr>
        <w:t>单位</w:t>
      </w:r>
      <w:r>
        <w:rPr>
          <w:rFonts w:hint="eastAsia" w:ascii="宋体" w:hAnsi="宋体" w:cs="宋体"/>
          <w:bCs/>
          <w:kern w:val="0"/>
          <w:sz w:val="24"/>
          <w:lang w:val="zh-CN"/>
        </w:rPr>
        <w:t>：</w:t>
      </w:r>
      <w:r>
        <w:rPr>
          <w:rFonts w:ascii="宋体" w:hAnsi="宋体" w:cs="宋体"/>
          <w:bCs/>
          <w:kern w:val="0"/>
          <w:sz w:val="24"/>
          <w:lang w:val="zh-CN"/>
        </w:rPr>
        <w:t>人民币</w:t>
      </w:r>
      <w:r>
        <w:rPr>
          <w:rFonts w:hint="eastAsia" w:ascii="宋体" w:hAnsi="宋体" w:cs="宋体"/>
          <w:bCs/>
          <w:kern w:val="0"/>
          <w:sz w:val="24"/>
          <w:lang w:val="zh-CN"/>
        </w:rPr>
        <w:t>（</w:t>
      </w:r>
      <w:r>
        <w:rPr>
          <w:rFonts w:ascii="宋体" w:hAnsi="宋体" w:cs="宋体"/>
          <w:bCs/>
          <w:kern w:val="0"/>
          <w:sz w:val="24"/>
          <w:lang w:val="zh-CN"/>
        </w:rPr>
        <w:t>元</w:t>
      </w:r>
      <w:r>
        <w:rPr>
          <w:rFonts w:hint="eastAsia" w:ascii="宋体" w:hAnsi="宋体" w:cs="宋体"/>
          <w:bCs/>
          <w:kern w:val="0"/>
          <w:sz w:val="24"/>
          <w:lang w:val="zh-CN"/>
        </w:rPr>
        <w:t>）</w:t>
      </w:r>
    </w:p>
    <w:tbl>
      <w:tblPr>
        <w:tblStyle w:val="33"/>
        <w:tblW w:w="9808" w:type="dxa"/>
        <w:jc w:val="center"/>
        <w:shd w:val="clear" w:color="auto" w:fill="auto"/>
        <w:tblLayout w:type="fixed"/>
        <w:tblCellMar>
          <w:top w:w="0" w:type="dxa"/>
          <w:left w:w="28" w:type="dxa"/>
          <w:bottom w:w="0" w:type="dxa"/>
          <w:right w:w="28" w:type="dxa"/>
        </w:tblCellMar>
      </w:tblPr>
      <w:tblGrid>
        <w:gridCol w:w="713"/>
        <w:gridCol w:w="1666"/>
        <w:gridCol w:w="1030"/>
        <w:gridCol w:w="1157"/>
        <w:gridCol w:w="1338"/>
        <w:gridCol w:w="1208"/>
        <w:gridCol w:w="804"/>
        <w:gridCol w:w="947"/>
        <w:gridCol w:w="945"/>
      </w:tblGrid>
      <w:tr>
        <w:tblPrEx>
          <w:shd w:val="clear" w:color="auto" w:fill="auto"/>
        </w:tblPrEx>
        <w:trPr>
          <w:trHeight w:val="529" w:hRule="atLeast"/>
          <w:jc w:val="center"/>
        </w:trPr>
        <w:tc>
          <w:tcPr>
            <w:tcW w:w="713" w:type="dxa"/>
            <w:tcBorders>
              <w:top w:val="single" w:color="000000" w:sz="8"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序号</w:t>
            </w:r>
          </w:p>
        </w:tc>
        <w:tc>
          <w:tcPr>
            <w:tcW w:w="1666"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产品名称</w:t>
            </w:r>
          </w:p>
        </w:tc>
        <w:tc>
          <w:tcPr>
            <w:tcW w:w="1030"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品牌</w:t>
            </w:r>
          </w:p>
        </w:tc>
        <w:tc>
          <w:tcPr>
            <w:tcW w:w="1157"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规格</w:t>
            </w:r>
          </w:p>
          <w:p>
            <w:pPr>
              <w:spacing w:line="360" w:lineRule="auto"/>
              <w:jc w:val="center"/>
              <w:outlineLvl w:val="9"/>
              <w:rPr>
                <w:rFonts w:ascii="宋体" w:hAnsi="宋体"/>
                <w:sz w:val="24"/>
                <w:lang w:val="zh-CN"/>
              </w:rPr>
            </w:pPr>
            <w:r>
              <w:rPr>
                <w:rFonts w:hint="eastAsia" w:ascii="宋体" w:hAnsi="宋体"/>
                <w:sz w:val="24"/>
                <w:lang w:val="zh-CN"/>
              </w:rPr>
              <w:t>型号</w:t>
            </w:r>
          </w:p>
        </w:tc>
        <w:tc>
          <w:tcPr>
            <w:tcW w:w="1338"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生产厂家</w:t>
            </w:r>
          </w:p>
        </w:tc>
        <w:tc>
          <w:tcPr>
            <w:tcW w:w="1208"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hint="eastAsia" w:ascii="宋体" w:hAnsi="宋体" w:eastAsia="宋体"/>
                <w:sz w:val="24"/>
                <w:lang w:val="en-US" w:eastAsia="zh-CN"/>
              </w:rPr>
            </w:pPr>
            <w:r>
              <w:rPr>
                <w:rFonts w:hint="eastAsia" w:ascii="宋体" w:hAnsi="宋体"/>
                <w:sz w:val="24"/>
                <w:lang w:val="zh-CN"/>
              </w:rPr>
              <w:t>数量</w:t>
            </w:r>
            <w:r>
              <w:rPr>
                <w:rFonts w:hint="eastAsia" w:ascii="宋体" w:hAnsi="宋体"/>
                <w:sz w:val="24"/>
                <w:lang w:val="en-US" w:eastAsia="zh-CN"/>
              </w:rPr>
              <w:t>单位</w:t>
            </w:r>
          </w:p>
        </w:tc>
        <w:tc>
          <w:tcPr>
            <w:tcW w:w="804"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单价</w:t>
            </w:r>
          </w:p>
        </w:tc>
        <w:tc>
          <w:tcPr>
            <w:tcW w:w="947" w:type="dxa"/>
            <w:tcBorders>
              <w:top w:val="single" w:color="000000" w:sz="8"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合计</w:t>
            </w:r>
          </w:p>
        </w:tc>
        <w:tc>
          <w:tcPr>
            <w:tcW w:w="945" w:type="dxa"/>
            <w:tcBorders>
              <w:top w:val="single" w:color="000000" w:sz="8"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r>
              <w:rPr>
                <w:rFonts w:hint="eastAsia" w:ascii="宋体" w:hAnsi="宋体"/>
                <w:sz w:val="24"/>
                <w:lang w:val="zh-CN"/>
              </w:rPr>
              <w:t>备注</w:t>
            </w:r>
          </w:p>
        </w:tc>
      </w:tr>
      <w:tr>
        <w:tblPrEx>
          <w:shd w:val="clear" w:color="auto" w:fill="auto"/>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ascii="宋体" w:hAnsi="宋体"/>
                <w:sz w:val="24"/>
                <w:lang w:val="zh-CN"/>
              </w:rPr>
              <w:t>1</w:t>
            </w:r>
          </w:p>
        </w:tc>
        <w:tc>
          <w:tcPr>
            <w:tcW w:w="166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ascii="宋体" w:hAnsi="宋体"/>
                <w:sz w:val="24"/>
                <w:lang w:val="zh-CN"/>
              </w:rPr>
              <w:t>2</w:t>
            </w:r>
          </w:p>
        </w:tc>
        <w:tc>
          <w:tcPr>
            <w:tcW w:w="166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ascii="宋体" w:hAnsi="宋体"/>
                <w:sz w:val="24"/>
                <w:lang w:val="zh-CN"/>
              </w:rPr>
              <w:t>3</w:t>
            </w:r>
          </w:p>
        </w:tc>
        <w:tc>
          <w:tcPr>
            <w:tcW w:w="166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p>
        </w:tc>
      </w:tr>
      <w:tr>
        <w:tblPrEx>
          <w:shd w:val="clear" w:color="auto" w:fill="auto"/>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ascii="宋体" w:hAnsi="宋体"/>
                <w:sz w:val="24"/>
                <w:lang w:val="zh-CN"/>
              </w:rPr>
              <w:t>4</w:t>
            </w:r>
          </w:p>
        </w:tc>
        <w:tc>
          <w:tcPr>
            <w:tcW w:w="166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p>
        </w:tc>
      </w:tr>
      <w:tr>
        <w:tblPrEx>
          <w:shd w:val="clear" w:color="auto" w:fill="auto"/>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r>
              <w:rPr>
                <w:rFonts w:ascii="宋体" w:hAnsi="宋体"/>
                <w:sz w:val="24"/>
                <w:lang w:val="zh-CN"/>
              </w:rPr>
              <w:t>…</w:t>
            </w:r>
          </w:p>
        </w:tc>
        <w:tc>
          <w:tcPr>
            <w:tcW w:w="166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center"/>
              <w:outlineLvl w:val="9"/>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auto" w:fill="auto"/>
            <w:vAlign w:val="center"/>
          </w:tcPr>
          <w:p>
            <w:pPr>
              <w:spacing w:line="360" w:lineRule="auto"/>
              <w:jc w:val="center"/>
              <w:outlineLvl w:val="9"/>
              <w:rPr>
                <w:rFonts w:ascii="宋体" w:hAnsi="宋体"/>
                <w:sz w:val="24"/>
                <w:lang w:val="zh-CN"/>
              </w:rPr>
            </w:pPr>
          </w:p>
        </w:tc>
      </w:tr>
      <w:tr>
        <w:tblPrEx>
          <w:shd w:val="clear" w:color="auto" w:fill="auto"/>
          <w:tblCellMar>
            <w:top w:w="0" w:type="dxa"/>
            <w:left w:w="28" w:type="dxa"/>
            <w:bottom w:w="0" w:type="dxa"/>
            <w:right w:w="28" w:type="dxa"/>
          </w:tblCellMar>
        </w:tblPrEx>
        <w:trPr>
          <w:trHeight w:val="1067" w:hRule="atLeast"/>
          <w:jc w:val="center"/>
        </w:trPr>
        <w:tc>
          <w:tcPr>
            <w:tcW w:w="9808" w:type="dxa"/>
            <w:gridSpan w:val="9"/>
            <w:tcBorders>
              <w:top w:val="single" w:color="000000" w:sz="6" w:space="0"/>
              <w:left w:val="single" w:color="000000" w:sz="8" w:space="0"/>
              <w:bottom w:val="single" w:color="000000" w:sz="6" w:space="0"/>
              <w:right w:val="single" w:color="000000" w:sz="8" w:space="0"/>
            </w:tcBorders>
            <w:shd w:val="clear" w:color="auto" w:fill="auto"/>
            <w:vAlign w:val="center"/>
          </w:tcPr>
          <w:p>
            <w:pPr>
              <w:spacing w:line="360" w:lineRule="auto"/>
              <w:outlineLvl w:val="9"/>
              <w:rPr>
                <w:rFonts w:ascii="宋体" w:hAnsi="宋体"/>
                <w:sz w:val="24"/>
                <w:lang w:val="zh-CN"/>
              </w:rPr>
            </w:pPr>
            <w:r>
              <w:rPr>
                <w:rFonts w:hint="eastAsia" w:ascii="宋体" w:hAnsi="宋体"/>
                <w:sz w:val="24"/>
                <w:lang w:val="zh-CN"/>
              </w:rPr>
              <w:t>优惠承诺及其他：</w:t>
            </w:r>
          </w:p>
          <w:p>
            <w:pPr>
              <w:spacing w:line="360" w:lineRule="auto"/>
              <w:outlineLvl w:val="9"/>
              <w:rPr>
                <w:rFonts w:ascii="宋体" w:hAnsi="宋体"/>
                <w:sz w:val="24"/>
                <w:lang w:val="zh-CN"/>
              </w:rPr>
            </w:pPr>
          </w:p>
        </w:tc>
      </w:tr>
      <w:tr>
        <w:tblPrEx>
          <w:shd w:val="clear" w:color="auto" w:fill="auto"/>
          <w:tblCellMar>
            <w:top w:w="0" w:type="dxa"/>
            <w:left w:w="28" w:type="dxa"/>
            <w:bottom w:w="0" w:type="dxa"/>
            <w:right w:w="28" w:type="dxa"/>
          </w:tblCellMar>
        </w:tblPrEx>
        <w:trPr>
          <w:trHeight w:val="1038" w:hRule="atLeast"/>
          <w:jc w:val="center"/>
        </w:trPr>
        <w:tc>
          <w:tcPr>
            <w:tcW w:w="2379" w:type="dxa"/>
            <w:gridSpan w:val="2"/>
            <w:tcBorders>
              <w:top w:val="single" w:color="000000" w:sz="6" w:space="0"/>
              <w:left w:val="single" w:color="000000" w:sz="8" w:space="0"/>
              <w:bottom w:val="single" w:color="000000" w:sz="8" w:space="0"/>
              <w:right w:val="single" w:color="000000" w:sz="6" w:space="0"/>
            </w:tcBorders>
            <w:shd w:val="clear" w:color="auto" w:fill="auto"/>
            <w:vAlign w:val="center"/>
          </w:tcPr>
          <w:p>
            <w:pPr>
              <w:spacing w:line="360" w:lineRule="auto"/>
              <w:outlineLvl w:val="9"/>
              <w:rPr>
                <w:rFonts w:ascii="宋体" w:hAnsi="宋体"/>
                <w:sz w:val="24"/>
                <w:lang w:val="zh-CN"/>
              </w:rPr>
            </w:pPr>
            <w:r>
              <w:rPr>
                <w:rFonts w:hint="eastAsia" w:ascii="宋体" w:hAnsi="宋体"/>
                <w:sz w:val="24"/>
                <w:lang w:val="en-US" w:eastAsia="zh-CN"/>
              </w:rPr>
              <w:t>磋商</w:t>
            </w:r>
            <w:r>
              <w:rPr>
                <w:rFonts w:hint="eastAsia" w:ascii="宋体" w:hAnsi="宋体"/>
                <w:sz w:val="24"/>
                <w:lang w:val="zh-CN"/>
              </w:rPr>
              <w:t>总价</w:t>
            </w:r>
          </w:p>
        </w:tc>
        <w:tc>
          <w:tcPr>
            <w:tcW w:w="7429" w:type="dxa"/>
            <w:gridSpan w:val="7"/>
            <w:tcBorders>
              <w:top w:val="single" w:color="000000" w:sz="6" w:space="0"/>
              <w:left w:val="single" w:color="000000" w:sz="6" w:space="0"/>
              <w:bottom w:val="single" w:color="000000" w:sz="8" w:space="0"/>
              <w:right w:val="single" w:color="000000" w:sz="8" w:space="0"/>
            </w:tcBorders>
            <w:shd w:val="clear" w:color="auto" w:fill="auto"/>
            <w:vAlign w:val="center"/>
          </w:tcPr>
          <w:p>
            <w:pPr>
              <w:spacing w:line="360" w:lineRule="auto"/>
              <w:outlineLvl w:val="9"/>
              <w:rPr>
                <w:rFonts w:ascii="宋体" w:hAnsi="宋体"/>
                <w:sz w:val="24"/>
                <w:lang w:val="zh-CN"/>
              </w:rPr>
            </w:pPr>
            <w:r>
              <w:rPr>
                <w:rFonts w:hint="eastAsia" w:ascii="宋体" w:hAnsi="宋体"/>
                <w:sz w:val="24"/>
                <w:lang w:val="zh-CN"/>
              </w:rPr>
              <w:t>小写：</w:t>
            </w:r>
          </w:p>
          <w:p>
            <w:pPr>
              <w:spacing w:line="360" w:lineRule="auto"/>
              <w:outlineLvl w:val="9"/>
              <w:rPr>
                <w:rFonts w:ascii="宋体" w:hAnsi="宋体"/>
                <w:sz w:val="24"/>
                <w:lang w:val="zh-CN"/>
              </w:rPr>
            </w:pPr>
          </w:p>
          <w:p>
            <w:pPr>
              <w:spacing w:line="360" w:lineRule="auto"/>
              <w:outlineLvl w:val="9"/>
              <w:rPr>
                <w:rFonts w:ascii="宋体" w:hAnsi="宋体"/>
                <w:sz w:val="24"/>
                <w:lang w:val="zh-CN"/>
              </w:rPr>
            </w:pPr>
            <w:r>
              <w:rPr>
                <w:rFonts w:hint="eastAsia" w:ascii="宋体" w:hAnsi="宋体"/>
                <w:sz w:val="24"/>
                <w:lang w:val="zh-CN"/>
              </w:rPr>
              <w:t>大写：</w:t>
            </w:r>
          </w:p>
        </w:tc>
      </w:tr>
    </w:tbl>
    <w:p>
      <w:pPr>
        <w:autoSpaceDE w:val="0"/>
        <w:autoSpaceDN w:val="0"/>
        <w:spacing w:line="360" w:lineRule="auto"/>
        <w:outlineLvl w:val="9"/>
        <w:rPr>
          <w:rFonts w:ascii="宋体" w:hAnsi="宋体" w:cs="Arial"/>
          <w:b/>
          <w:bCs/>
          <w:sz w:val="24"/>
          <w:lang w:val="zh-CN"/>
        </w:rPr>
      </w:pPr>
      <w:r>
        <w:rPr>
          <w:rFonts w:ascii="宋体" w:hAnsi="宋体" w:cs="Arial"/>
          <w:b/>
          <w:bCs/>
          <w:sz w:val="24"/>
          <w:lang w:val="zh-CN"/>
        </w:rPr>
        <w:t>注：1、本表应依照</w:t>
      </w:r>
      <w:r>
        <w:rPr>
          <w:rFonts w:hint="eastAsia" w:ascii="宋体" w:hAnsi="宋体" w:cs="Arial"/>
          <w:b/>
          <w:bCs/>
          <w:sz w:val="24"/>
          <w:lang w:val="zh-CN"/>
        </w:rPr>
        <w:t>采购项目参数及要求</w:t>
      </w:r>
      <w:r>
        <w:rPr>
          <w:rFonts w:ascii="宋体" w:hAnsi="宋体" w:cs="Arial"/>
          <w:b/>
          <w:bCs/>
          <w:sz w:val="24"/>
          <w:lang w:val="zh-CN"/>
        </w:rPr>
        <w:t>中的产品序号按顺序逐项填写，不得遗漏。</w:t>
      </w:r>
    </w:p>
    <w:p>
      <w:pPr>
        <w:autoSpaceDE w:val="0"/>
        <w:autoSpaceDN w:val="0"/>
        <w:spacing w:line="360" w:lineRule="auto"/>
        <w:ind w:firstLine="482" w:firstLineChars="200"/>
        <w:outlineLvl w:val="9"/>
        <w:rPr>
          <w:rFonts w:ascii="宋体" w:hAnsi="宋体" w:cs="Arial"/>
          <w:b/>
          <w:bCs/>
          <w:sz w:val="24"/>
          <w:lang w:val="zh-CN"/>
        </w:rPr>
      </w:pPr>
      <w:r>
        <w:rPr>
          <w:rFonts w:ascii="宋体" w:hAnsi="宋体" w:cs="Arial"/>
          <w:b/>
          <w:bCs/>
          <w:sz w:val="24"/>
          <w:lang w:val="zh-CN"/>
        </w:rPr>
        <w:t>2</w:t>
      </w:r>
      <w:r>
        <w:rPr>
          <w:rFonts w:hint="eastAsia" w:ascii="宋体" w:hAnsi="宋体" w:cs="Arial"/>
          <w:b/>
          <w:bCs/>
          <w:sz w:val="24"/>
          <w:lang w:val="zh-CN"/>
        </w:rPr>
        <w:t>、“分项报价</w:t>
      </w:r>
      <w:r>
        <w:rPr>
          <w:rFonts w:ascii="宋体" w:hAnsi="宋体" w:cs="Arial"/>
          <w:b/>
          <w:bCs/>
          <w:sz w:val="24"/>
          <w:lang w:val="zh-CN"/>
        </w:rPr>
        <w:t>表</w:t>
      </w:r>
      <w:r>
        <w:rPr>
          <w:rFonts w:hint="eastAsia" w:ascii="宋体" w:hAnsi="宋体" w:cs="Arial"/>
          <w:b/>
          <w:bCs/>
          <w:sz w:val="24"/>
          <w:lang w:val="zh-CN"/>
        </w:rPr>
        <w:t>”</w:t>
      </w:r>
      <w:r>
        <w:rPr>
          <w:rFonts w:ascii="宋体" w:hAnsi="宋体" w:cs="Arial"/>
          <w:b/>
          <w:bCs/>
          <w:sz w:val="24"/>
          <w:lang w:val="zh-CN"/>
        </w:rPr>
        <w:t>须为打印版，手写无效。</w:t>
      </w:r>
    </w:p>
    <w:p>
      <w:pPr>
        <w:spacing w:line="360" w:lineRule="auto"/>
        <w:outlineLvl w:val="9"/>
        <w:rPr>
          <w:rFonts w:ascii="宋体" w:hAnsi="宋体"/>
          <w:sz w:val="24"/>
          <w:lang w:val="zh-CN"/>
        </w:rPr>
      </w:pPr>
    </w:p>
    <w:p>
      <w:pPr>
        <w:spacing w:line="360" w:lineRule="auto"/>
        <w:outlineLvl w:val="9"/>
        <w:rPr>
          <w:rFonts w:ascii="宋体" w:hAnsi="宋体"/>
          <w:sz w:val="24"/>
          <w:lang w:val="zh-CN"/>
        </w:rPr>
      </w:pPr>
    </w:p>
    <w:p>
      <w:pPr>
        <w:spacing w:line="360" w:lineRule="auto"/>
        <w:outlineLvl w:val="9"/>
        <w:rPr>
          <w:rFonts w:ascii="宋体" w:hAnsi="宋体"/>
          <w:sz w:val="24"/>
          <w:lang w:val="zh-CN"/>
        </w:rPr>
      </w:pPr>
    </w:p>
    <w:p>
      <w:pPr>
        <w:spacing w:line="360" w:lineRule="auto"/>
        <w:outlineLvl w:val="9"/>
        <w:rPr>
          <w:rFonts w:ascii="宋体" w:hAnsi="宋体"/>
          <w:sz w:val="24"/>
          <w:lang w:val="zh-CN"/>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ind w:left="709" w:hanging="709"/>
        <w:outlineLvl w:val="1"/>
        <w:rPr>
          <w:rFonts w:hAnsi="宋体" w:cs="宋体"/>
          <w:sz w:val="24"/>
          <w:szCs w:val="24"/>
        </w:rPr>
      </w:pPr>
      <w:r>
        <w:rPr>
          <w:rFonts w:hAnsi="宋体"/>
          <w:bCs/>
          <w:sz w:val="24"/>
          <w:szCs w:val="24"/>
        </w:rPr>
        <w:br w:type="page"/>
      </w:r>
      <w:bookmarkStart w:id="107" w:name="_Toc22177"/>
      <w:r>
        <w:rPr>
          <w:rFonts w:hint="eastAsia" w:hAnsi="宋体"/>
          <w:b/>
          <w:sz w:val="24"/>
          <w:szCs w:val="24"/>
          <w:lang w:val="zh-CN"/>
        </w:rPr>
        <w:t>格式13、技术规格响应表</w:t>
      </w:r>
      <w:bookmarkEnd w:id="107"/>
    </w:p>
    <w:p>
      <w:pPr>
        <w:autoSpaceDE w:val="0"/>
        <w:autoSpaceDN w:val="0"/>
        <w:adjustRightInd w:val="0"/>
        <w:spacing w:line="360" w:lineRule="auto"/>
        <w:jc w:val="center"/>
        <w:outlineLvl w:val="9"/>
        <w:rPr>
          <w:rFonts w:hint="eastAsia" w:ascii="宋体" w:hAnsi="宋体" w:cs="宋体"/>
          <w:b/>
          <w:bCs/>
          <w:kern w:val="0"/>
          <w:sz w:val="24"/>
          <w:lang w:val="zh-CN"/>
        </w:rPr>
      </w:pPr>
      <w:bookmarkStart w:id="108" w:name="_Toc25742"/>
      <w:bookmarkStart w:id="109" w:name="_Toc20510"/>
      <w:bookmarkStart w:id="110" w:name="_Toc444715742"/>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技术规格响应表</w:t>
      </w:r>
    </w:p>
    <w:p>
      <w:pPr>
        <w:autoSpaceDE w:val="0"/>
        <w:autoSpaceDN w:val="0"/>
        <w:adjustRightInd w:val="0"/>
        <w:spacing w:line="360" w:lineRule="auto"/>
        <w:outlineLvl w:val="9"/>
        <w:rPr>
          <w:rFonts w:ascii="宋体" w:hAnsi="宋体" w:cs="宋体"/>
          <w:b/>
          <w:bCs/>
          <w:kern w:val="0"/>
          <w:sz w:val="24"/>
          <w:lang w:val="zh-CN"/>
        </w:rPr>
      </w:pPr>
      <w:r>
        <w:rPr>
          <w:rFonts w:hint="eastAsia" w:ascii="宋体" w:hAnsi="宋体" w:cs="宋体"/>
          <w:b/>
          <w:bCs/>
          <w:kern w:val="0"/>
          <w:sz w:val="24"/>
          <w:lang w:val="zh-CN"/>
        </w:rPr>
        <w:t>采购项目名称:</w:t>
      </w:r>
    </w:p>
    <w:p>
      <w:pPr>
        <w:autoSpaceDE w:val="0"/>
        <w:autoSpaceDN w:val="0"/>
        <w:spacing w:line="360" w:lineRule="auto"/>
        <w:outlineLvl w:val="9"/>
        <w:rPr>
          <w:rFonts w:hint="eastAsia" w:ascii="宋体" w:hAnsi="宋体" w:cs="宋体"/>
          <w:b/>
          <w:bCs/>
          <w:kern w:val="0"/>
          <w:sz w:val="24"/>
          <w:lang w:val="zh-CN"/>
        </w:rPr>
      </w:pPr>
      <w:r>
        <w:rPr>
          <w:rFonts w:hint="eastAsia" w:ascii="宋体" w:hAnsi="宋体" w:cs="宋体"/>
          <w:b/>
          <w:bCs/>
          <w:kern w:val="0"/>
          <w:sz w:val="24"/>
          <w:lang w:val="zh-CN"/>
        </w:rPr>
        <w:t>采购项目编号：</w:t>
      </w:r>
    </w:p>
    <w:p>
      <w:pPr>
        <w:autoSpaceDE w:val="0"/>
        <w:autoSpaceDN w:val="0"/>
        <w:spacing w:line="360" w:lineRule="auto"/>
        <w:outlineLvl w:val="9"/>
        <w:rPr>
          <w:rFonts w:ascii="宋体" w:hAnsi="宋体" w:cs="宋体"/>
          <w:b/>
          <w:bCs/>
          <w:kern w:val="0"/>
          <w:sz w:val="24"/>
          <w:lang w:val="zh-CN"/>
        </w:rPr>
      </w:pPr>
      <w:r>
        <w:rPr>
          <w:rFonts w:hint="eastAsia" w:ascii="宋体" w:hAnsi="宋体" w:cs="宋体"/>
          <w:b/>
          <w:bCs/>
          <w:sz w:val="24"/>
          <w:lang w:val="zh-CN"/>
        </w:rPr>
        <w:t>供应商名称：</w:t>
      </w:r>
    </w:p>
    <w:tbl>
      <w:tblPr>
        <w:tblStyle w:val="33"/>
        <w:tblW w:w="102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63"/>
        <w:gridCol w:w="1450"/>
        <w:gridCol w:w="950"/>
        <w:gridCol w:w="712"/>
        <w:gridCol w:w="825"/>
        <w:gridCol w:w="1463"/>
        <w:gridCol w:w="1612"/>
        <w:gridCol w:w="95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91" w:type="dxa"/>
            <w:vMerge w:val="restart"/>
            <w:vAlign w:val="center"/>
          </w:tcPr>
          <w:p>
            <w:pPr>
              <w:spacing w:line="360" w:lineRule="auto"/>
              <w:jc w:val="center"/>
              <w:outlineLvl w:val="9"/>
              <w:rPr>
                <w:rFonts w:ascii="宋体" w:hAnsi="宋体"/>
                <w:sz w:val="24"/>
              </w:rPr>
            </w:pPr>
            <w:r>
              <w:rPr>
                <w:rFonts w:hint="eastAsia" w:ascii="宋体" w:hAnsi="宋体"/>
                <w:sz w:val="24"/>
              </w:rPr>
              <w:t>序号</w:t>
            </w:r>
          </w:p>
        </w:tc>
        <w:tc>
          <w:tcPr>
            <w:tcW w:w="3263" w:type="dxa"/>
            <w:gridSpan w:val="3"/>
            <w:vAlign w:val="center"/>
          </w:tcPr>
          <w:p>
            <w:pPr>
              <w:spacing w:line="360" w:lineRule="auto"/>
              <w:jc w:val="center"/>
              <w:outlineLvl w:val="9"/>
              <w:rPr>
                <w:rFonts w:ascii="宋体" w:hAnsi="宋体"/>
                <w:sz w:val="24"/>
              </w:rPr>
            </w:pPr>
            <w:r>
              <w:rPr>
                <w:rFonts w:hint="eastAsia" w:ascii="宋体" w:hAnsi="宋体" w:cs="仿宋_GB2312"/>
                <w:sz w:val="24"/>
              </w:rPr>
              <w:t>采购需求技术参数、指标</w:t>
            </w:r>
          </w:p>
        </w:tc>
        <w:tc>
          <w:tcPr>
            <w:tcW w:w="5562" w:type="dxa"/>
            <w:gridSpan w:val="5"/>
            <w:vAlign w:val="center"/>
          </w:tcPr>
          <w:p>
            <w:pPr>
              <w:spacing w:line="360" w:lineRule="auto"/>
              <w:outlineLvl w:val="9"/>
              <w:rPr>
                <w:rFonts w:ascii="宋体" w:hAnsi="宋体"/>
                <w:sz w:val="24"/>
              </w:rPr>
            </w:pPr>
            <w:r>
              <w:rPr>
                <w:rFonts w:hint="eastAsia" w:ascii="宋体" w:hAnsi="宋体"/>
                <w:sz w:val="24"/>
              </w:rPr>
              <w:t>投标产品技术参数、指标</w:t>
            </w:r>
          </w:p>
        </w:tc>
        <w:tc>
          <w:tcPr>
            <w:tcW w:w="738" w:type="dxa"/>
            <w:vMerge w:val="restart"/>
            <w:vAlign w:val="center"/>
          </w:tcPr>
          <w:p>
            <w:pPr>
              <w:spacing w:line="360" w:lineRule="auto"/>
              <w:outlineLvl w:val="9"/>
              <w:rPr>
                <w:rFonts w:ascii="宋体" w:hAnsi="宋体"/>
                <w:sz w:val="24"/>
              </w:rPr>
            </w:pPr>
            <w:r>
              <w:rPr>
                <w:rFonts w:hint="eastAsia" w:ascii="宋体" w:hAnsi="宋体"/>
                <w:sz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691" w:type="dxa"/>
            <w:vMerge w:val="continue"/>
            <w:vAlign w:val="center"/>
          </w:tcPr>
          <w:p>
            <w:pPr>
              <w:spacing w:line="360" w:lineRule="auto"/>
              <w:jc w:val="center"/>
              <w:outlineLvl w:val="9"/>
              <w:rPr>
                <w:rFonts w:ascii="宋体" w:hAnsi="宋体"/>
                <w:sz w:val="24"/>
              </w:rPr>
            </w:pPr>
          </w:p>
        </w:tc>
        <w:tc>
          <w:tcPr>
            <w:tcW w:w="863" w:type="dxa"/>
            <w:vAlign w:val="center"/>
          </w:tcPr>
          <w:p>
            <w:pPr>
              <w:spacing w:line="360" w:lineRule="auto"/>
              <w:jc w:val="center"/>
              <w:outlineLvl w:val="9"/>
              <w:rPr>
                <w:rFonts w:ascii="宋体" w:hAnsi="宋体" w:cs="仿宋_GB2312"/>
                <w:sz w:val="24"/>
              </w:rPr>
            </w:pPr>
            <w:r>
              <w:rPr>
                <w:rFonts w:hint="eastAsia" w:ascii="宋体" w:hAnsi="宋体" w:cs="仿宋_GB2312"/>
                <w:sz w:val="24"/>
              </w:rPr>
              <w:t>名称</w:t>
            </w:r>
          </w:p>
        </w:tc>
        <w:tc>
          <w:tcPr>
            <w:tcW w:w="1450" w:type="dxa"/>
            <w:vAlign w:val="center"/>
          </w:tcPr>
          <w:p>
            <w:pPr>
              <w:spacing w:line="360" w:lineRule="auto"/>
              <w:jc w:val="center"/>
              <w:outlineLvl w:val="9"/>
              <w:rPr>
                <w:rFonts w:hint="eastAsia" w:ascii="宋体" w:hAnsi="宋体" w:eastAsia="宋体" w:cs="仿宋_GB2312"/>
                <w:sz w:val="24"/>
                <w:lang w:val="en-US" w:eastAsia="zh-CN"/>
              </w:rPr>
            </w:pPr>
            <w:r>
              <w:rPr>
                <w:rFonts w:hint="eastAsia" w:ascii="宋体" w:hAnsi="宋体" w:cs="仿宋_GB2312"/>
                <w:sz w:val="24"/>
              </w:rPr>
              <w:t>技术参数及</w:t>
            </w:r>
            <w:r>
              <w:rPr>
                <w:rFonts w:hint="eastAsia" w:ascii="宋体" w:hAnsi="宋体" w:cs="仿宋_GB2312"/>
                <w:sz w:val="24"/>
                <w:lang w:val="en-US" w:eastAsia="zh-CN"/>
              </w:rPr>
              <w:t>配置</w:t>
            </w:r>
          </w:p>
        </w:tc>
        <w:tc>
          <w:tcPr>
            <w:tcW w:w="950" w:type="dxa"/>
            <w:vAlign w:val="center"/>
          </w:tcPr>
          <w:p>
            <w:pPr>
              <w:spacing w:line="360" w:lineRule="auto"/>
              <w:jc w:val="center"/>
              <w:outlineLvl w:val="9"/>
              <w:rPr>
                <w:rFonts w:hint="eastAsia" w:ascii="宋体" w:hAnsi="宋体" w:cs="仿宋_GB2312"/>
                <w:sz w:val="24"/>
              </w:rPr>
            </w:pPr>
            <w:r>
              <w:rPr>
                <w:rFonts w:hint="eastAsia" w:ascii="宋体" w:hAnsi="宋体" w:cs="仿宋_GB2312"/>
                <w:sz w:val="24"/>
              </w:rPr>
              <w:t>数量</w:t>
            </w:r>
          </w:p>
          <w:p>
            <w:pPr>
              <w:spacing w:line="360" w:lineRule="auto"/>
              <w:jc w:val="center"/>
              <w:outlineLvl w:val="9"/>
              <w:rPr>
                <w:rFonts w:hint="eastAsia" w:ascii="宋体" w:hAnsi="宋体" w:eastAsia="宋体" w:cs="仿宋_GB2312"/>
                <w:sz w:val="24"/>
                <w:lang w:val="en-US" w:eastAsia="zh-CN"/>
              </w:rPr>
            </w:pPr>
            <w:r>
              <w:rPr>
                <w:rFonts w:hint="eastAsia" w:ascii="宋体" w:hAnsi="宋体" w:cs="仿宋_GB2312"/>
                <w:sz w:val="24"/>
                <w:lang w:val="en-US" w:eastAsia="zh-CN"/>
              </w:rPr>
              <w:t>单位</w:t>
            </w:r>
          </w:p>
        </w:tc>
        <w:tc>
          <w:tcPr>
            <w:tcW w:w="712" w:type="dxa"/>
            <w:vAlign w:val="center"/>
          </w:tcPr>
          <w:p>
            <w:pPr>
              <w:spacing w:line="360" w:lineRule="auto"/>
              <w:jc w:val="center"/>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名称</w:t>
            </w:r>
          </w:p>
        </w:tc>
        <w:tc>
          <w:tcPr>
            <w:tcW w:w="825" w:type="dxa"/>
            <w:vAlign w:val="center"/>
          </w:tcPr>
          <w:p>
            <w:pPr>
              <w:spacing w:line="360" w:lineRule="auto"/>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品牌</w:t>
            </w:r>
          </w:p>
        </w:tc>
        <w:tc>
          <w:tcPr>
            <w:tcW w:w="1463" w:type="dxa"/>
            <w:vAlign w:val="center"/>
          </w:tcPr>
          <w:p>
            <w:pPr>
              <w:spacing w:line="360" w:lineRule="auto"/>
              <w:jc w:val="center"/>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规格型号、产地</w:t>
            </w:r>
          </w:p>
        </w:tc>
        <w:tc>
          <w:tcPr>
            <w:tcW w:w="1612" w:type="dxa"/>
            <w:vAlign w:val="center"/>
          </w:tcPr>
          <w:p>
            <w:pPr>
              <w:spacing w:line="360" w:lineRule="auto"/>
              <w:jc w:val="center"/>
              <w:outlineLvl w:val="9"/>
              <w:rPr>
                <w:rFonts w:hint="eastAsia" w:ascii="宋体" w:hAnsi="宋体" w:eastAsia="宋体"/>
                <w:sz w:val="24"/>
                <w:lang w:eastAsia="zh-CN"/>
              </w:rPr>
            </w:pPr>
            <w:r>
              <w:rPr>
                <w:rFonts w:hint="eastAsia" w:ascii="宋体" w:hAnsi="宋体"/>
                <w:sz w:val="24"/>
              </w:rPr>
              <w:t>技术参数及</w:t>
            </w:r>
            <w:r>
              <w:rPr>
                <w:rFonts w:hint="eastAsia" w:ascii="宋体" w:hAnsi="宋体"/>
                <w:sz w:val="24"/>
                <w:lang w:val="en-US" w:eastAsia="zh-CN"/>
              </w:rPr>
              <w:t>配置</w:t>
            </w:r>
          </w:p>
        </w:tc>
        <w:tc>
          <w:tcPr>
            <w:tcW w:w="950" w:type="dxa"/>
            <w:vAlign w:val="center"/>
          </w:tcPr>
          <w:p>
            <w:pPr>
              <w:spacing w:line="360" w:lineRule="auto"/>
              <w:jc w:val="center"/>
              <w:outlineLvl w:val="9"/>
              <w:rPr>
                <w:rFonts w:hint="eastAsia" w:ascii="宋体" w:hAnsi="宋体"/>
                <w:sz w:val="24"/>
              </w:rPr>
            </w:pPr>
            <w:r>
              <w:rPr>
                <w:rFonts w:hint="eastAsia" w:ascii="宋体" w:hAnsi="宋体"/>
                <w:sz w:val="24"/>
              </w:rPr>
              <w:t>数量</w:t>
            </w:r>
          </w:p>
          <w:p>
            <w:pPr>
              <w:spacing w:line="360" w:lineRule="auto"/>
              <w:jc w:val="center"/>
              <w:outlineLvl w:val="9"/>
              <w:rPr>
                <w:rFonts w:hint="eastAsia" w:ascii="宋体" w:hAnsi="宋体" w:eastAsia="宋体"/>
                <w:sz w:val="24"/>
                <w:lang w:val="en-US" w:eastAsia="zh-CN"/>
              </w:rPr>
            </w:pPr>
            <w:r>
              <w:rPr>
                <w:rFonts w:hint="eastAsia" w:ascii="宋体" w:hAnsi="宋体"/>
                <w:sz w:val="24"/>
                <w:lang w:val="en-US" w:eastAsia="zh-CN"/>
              </w:rPr>
              <w:t>单位</w:t>
            </w:r>
          </w:p>
        </w:tc>
        <w:tc>
          <w:tcPr>
            <w:tcW w:w="738" w:type="dxa"/>
            <w:vMerge w:val="continue"/>
            <w:vAlign w:val="center"/>
          </w:tcPr>
          <w:p>
            <w:pPr>
              <w:spacing w:line="360" w:lineRule="auto"/>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691" w:type="dxa"/>
            <w:vAlign w:val="center"/>
          </w:tcPr>
          <w:p>
            <w:pPr>
              <w:tabs>
                <w:tab w:val="left" w:pos="3327"/>
              </w:tabs>
              <w:spacing w:line="360" w:lineRule="auto"/>
              <w:jc w:val="center"/>
              <w:outlineLvl w:val="9"/>
              <w:rPr>
                <w:rFonts w:ascii="宋体" w:hAnsi="宋体"/>
                <w:sz w:val="24"/>
              </w:rPr>
            </w:pPr>
            <w:r>
              <w:rPr>
                <w:rFonts w:hint="eastAsia" w:ascii="宋体" w:hAnsi="宋体"/>
                <w:sz w:val="24"/>
              </w:rPr>
              <w:t>1</w:t>
            </w:r>
          </w:p>
        </w:tc>
        <w:tc>
          <w:tcPr>
            <w:tcW w:w="863" w:type="dxa"/>
            <w:vAlign w:val="center"/>
          </w:tcPr>
          <w:p>
            <w:pPr>
              <w:tabs>
                <w:tab w:val="left" w:pos="3327"/>
              </w:tabs>
              <w:spacing w:line="360" w:lineRule="auto"/>
              <w:outlineLvl w:val="9"/>
              <w:rPr>
                <w:rFonts w:ascii="宋体" w:hAnsi="宋体"/>
                <w:sz w:val="24"/>
              </w:rPr>
            </w:pPr>
          </w:p>
        </w:tc>
        <w:tc>
          <w:tcPr>
            <w:tcW w:w="1450"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12" w:type="dxa"/>
            <w:vAlign w:val="center"/>
          </w:tcPr>
          <w:p>
            <w:pPr>
              <w:tabs>
                <w:tab w:val="left" w:pos="3327"/>
              </w:tabs>
              <w:spacing w:line="360" w:lineRule="auto"/>
              <w:outlineLvl w:val="9"/>
              <w:rPr>
                <w:rFonts w:ascii="宋体" w:hAnsi="宋体"/>
                <w:sz w:val="24"/>
              </w:rPr>
            </w:pPr>
          </w:p>
        </w:tc>
        <w:tc>
          <w:tcPr>
            <w:tcW w:w="825" w:type="dxa"/>
            <w:vAlign w:val="center"/>
          </w:tcPr>
          <w:p>
            <w:pPr>
              <w:tabs>
                <w:tab w:val="left" w:pos="3327"/>
              </w:tabs>
              <w:spacing w:line="360" w:lineRule="auto"/>
              <w:outlineLvl w:val="9"/>
              <w:rPr>
                <w:rFonts w:ascii="宋体" w:hAnsi="宋体"/>
                <w:color w:val="00B0F0"/>
                <w:sz w:val="24"/>
              </w:rPr>
            </w:pPr>
          </w:p>
        </w:tc>
        <w:tc>
          <w:tcPr>
            <w:tcW w:w="1463" w:type="dxa"/>
            <w:vAlign w:val="center"/>
          </w:tcPr>
          <w:p>
            <w:pPr>
              <w:tabs>
                <w:tab w:val="left" w:pos="3327"/>
              </w:tabs>
              <w:spacing w:line="360" w:lineRule="auto"/>
              <w:outlineLvl w:val="9"/>
              <w:rPr>
                <w:rFonts w:ascii="宋体" w:hAnsi="宋体"/>
                <w:color w:val="FF0000"/>
                <w:sz w:val="24"/>
              </w:rPr>
            </w:pPr>
          </w:p>
        </w:tc>
        <w:tc>
          <w:tcPr>
            <w:tcW w:w="1612"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38" w:type="dxa"/>
            <w:vAlign w:val="center"/>
          </w:tcPr>
          <w:p>
            <w:pPr>
              <w:spacing w:line="360" w:lineRule="auto"/>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691" w:type="dxa"/>
            <w:vAlign w:val="center"/>
          </w:tcPr>
          <w:p>
            <w:pPr>
              <w:tabs>
                <w:tab w:val="left" w:pos="3327"/>
              </w:tabs>
              <w:spacing w:line="360" w:lineRule="auto"/>
              <w:jc w:val="center"/>
              <w:outlineLvl w:val="9"/>
              <w:rPr>
                <w:rFonts w:ascii="宋体" w:hAnsi="宋体"/>
                <w:sz w:val="24"/>
              </w:rPr>
            </w:pPr>
            <w:r>
              <w:rPr>
                <w:rFonts w:hint="eastAsia" w:ascii="宋体" w:hAnsi="宋体"/>
                <w:sz w:val="24"/>
              </w:rPr>
              <w:t>2</w:t>
            </w:r>
          </w:p>
        </w:tc>
        <w:tc>
          <w:tcPr>
            <w:tcW w:w="863" w:type="dxa"/>
            <w:vAlign w:val="center"/>
          </w:tcPr>
          <w:p>
            <w:pPr>
              <w:tabs>
                <w:tab w:val="left" w:pos="3327"/>
              </w:tabs>
              <w:spacing w:line="360" w:lineRule="auto"/>
              <w:outlineLvl w:val="9"/>
              <w:rPr>
                <w:rFonts w:ascii="宋体" w:hAnsi="宋体"/>
                <w:sz w:val="24"/>
              </w:rPr>
            </w:pPr>
          </w:p>
        </w:tc>
        <w:tc>
          <w:tcPr>
            <w:tcW w:w="1450"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12" w:type="dxa"/>
            <w:vAlign w:val="center"/>
          </w:tcPr>
          <w:p>
            <w:pPr>
              <w:tabs>
                <w:tab w:val="left" w:pos="3327"/>
              </w:tabs>
              <w:spacing w:line="360" w:lineRule="auto"/>
              <w:outlineLvl w:val="9"/>
              <w:rPr>
                <w:rFonts w:ascii="宋体" w:hAnsi="宋体"/>
                <w:sz w:val="24"/>
              </w:rPr>
            </w:pPr>
          </w:p>
        </w:tc>
        <w:tc>
          <w:tcPr>
            <w:tcW w:w="825" w:type="dxa"/>
            <w:vAlign w:val="center"/>
          </w:tcPr>
          <w:p>
            <w:pPr>
              <w:tabs>
                <w:tab w:val="left" w:pos="3327"/>
              </w:tabs>
              <w:spacing w:line="360" w:lineRule="auto"/>
              <w:outlineLvl w:val="9"/>
              <w:rPr>
                <w:rFonts w:ascii="宋体" w:hAnsi="宋体"/>
                <w:color w:val="00B0F0"/>
                <w:sz w:val="24"/>
              </w:rPr>
            </w:pPr>
          </w:p>
        </w:tc>
        <w:tc>
          <w:tcPr>
            <w:tcW w:w="1463" w:type="dxa"/>
            <w:vAlign w:val="center"/>
          </w:tcPr>
          <w:p>
            <w:pPr>
              <w:tabs>
                <w:tab w:val="left" w:pos="3327"/>
              </w:tabs>
              <w:spacing w:line="360" w:lineRule="auto"/>
              <w:outlineLvl w:val="9"/>
              <w:rPr>
                <w:rFonts w:ascii="宋体" w:hAnsi="宋体"/>
                <w:color w:val="FF0000"/>
                <w:sz w:val="24"/>
              </w:rPr>
            </w:pPr>
          </w:p>
        </w:tc>
        <w:tc>
          <w:tcPr>
            <w:tcW w:w="1612"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38" w:type="dxa"/>
            <w:vAlign w:val="center"/>
          </w:tcPr>
          <w:p>
            <w:pPr>
              <w:spacing w:line="360" w:lineRule="auto"/>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691" w:type="dxa"/>
            <w:vAlign w:val="center"/>
          </w:tcPr>
          <w:p>
            <w:pPr>
              <w:tabs>
                <w:tab w:val="left" w:pos="3327"/>
              </w:tabs>
              <w:spacing w:line="360" w:lineRule="auto"/>
              <w:jc w:val="center"/>
              <w:outlineLvl w:val="9"/>
              <w:rPr>
                <w:rFonts w:ascii="宋体" w:hAnsi="宋体"/>
                <w:sz w:val="24"/>
              </w:rPr>
            </w:pPr>
            <w:r>
              <w:rPr>
                <w:rFonts w:hint="eastAsia" w:ascii="宋体" w:hAnsi="宋体"/>
                <w:sz w:val="24"/>
              </w:rPr>
              <w:t>3</w:t>
            </w:r>
          </w:p>
        </w:tc>
        <w:tc>
          <w:tcPr>
            <w:tcW w:w="863" w:type="dxa"/>
            <w:vAlign w:val="center"/>
          </w:tcPr>
          <w:p>
            <w:pPr>
              <w:tabs>
                <w:tab w:val="left" w:pos="3327"/>
              </w:tabs>
              <w:spacing w:line="360" w:lineRule="auto"/>
              <w:outlineLvl w:val="9"/>
              <w:rPr>
                <w:rFonts w:ascii="宋体" w:hAnsi="宋体"/>
                <w:sz w:val="24"/>
              </w:rPr>
            </w:pPr>
          </w:p>
        </w:tc>
        <w:tc>
          <w:tcPr>
            <w:tcW w:w="1450"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12" w:type="dxa"/>
            <w:vAlign w:val="center"/>
          </w:tcPr>
          <w:p>
            <w:pPr>
              <w:tabs>
                <w:tab w:val="left" w:pos="3327"/>
              </w:tabs>
              <w:spacing w:line="360" w:lineRule="auto"/>
              <w:outlineLvl w:val="9"/>
              <w:rPr>
                <w:rFonts w:ascii="宋体" w:hAnsi="宋体"/>
                <w:sz w:val="24"/>
              </w:rPr>
            </w:pPr>
          </w:p>
        </w:tc>
        <w:tc>
          <w:tcPr>
            <w:tcW w:w="825" w:type="dxa"/>
            <w:vAlign w:val="center"/>
          </w:tcPr>
          <w:p>
            <w:pPr>
              <w:tabs>
                <w:tab w:val="left" w:pos="3327"/>
              </w:tabs>
              <w:spacing w:line="360" w:lineRule="auto"/>
              <w:outlineLvl w:val="9"/>
              <w:rPr>
                <w:rFonts w:ascii="宋体" w:hAnsi="宋体"/>
                <w:color w:val="00B0F0"/>
                <w:sz w:val="24"/>
              </w:rPr>
            </w:pPr>
          </w:p>
        </w:tc>
        <w:tc>
          <w:tcPr>
            <w:tcW w:w="1463" w:type="dxa"/>
            <w:vAlign w:val="center"/>
          </w:tcPr>
          <w:p>
            <w:pPr>
              <w:tabs>
                <w:tab w:val="left" w:pos="3327"/>
              </w:tabs>
              <w:spacing w:line="360" w:lineRule="auto"/>
              <w:outlineLvl w:val="9"/>
              <w:rPr>
                <w:rFonts w:ascii="宋体" w:hAnsi="宋体"/>
                <w:color w:val="FF0000"/>
                <w:sz w:val="24"/>
              </w:rPr>
            </w:pPr>
          </w:p>
        </w:tc>
        <w:tc>
          <w:tcPr>
            <w:tcW w:w="1612"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38" w:type="dxa"/>
            <w:vAlign w:val="center"/>
          </w:tcPr>
          <w:p>
            <w:pPr>
              <w:spacing w:line="360" w:lineRule="auto"/>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691" w:type="dxa"/>
            <w:vAlign w:val="center"/>
          </w:tcPr>
          <w:p>
            <w:pPr>
              <w:tabs>
                <w:tab w:val="left" w:pos="3327"/>
              </w:tabs>
              <w:spacing w:line="360" w:lineRule="auto"/>
              <w:jc w:val="center"/>
              <w:outlineLvl w:val="9"/>
              <w:rPr>
                <w:rFonts w:ascii="宋体" w:hAnsi="宋体"/>
                <w:sz w:val="24"/>
              </w:rPr>
            </w:pPr>
            <w:r>
              <w:rPr>
                <w:rFonts w:hint="eastAsia" w:ascii="宋体" w:hAnsi="宋体"/>
                <w:sz w:val="24"/>
              </w:rPr>
              <w:t>4</w:t>
            </w:r>
          </w:p>
        </w:tc>
        <w:tc>
          <w:tcPr>
            <w:tcW w:w="863" w:type="dxa"/>
            <w:vAlign w:val="center"/>
          </w:tcPr>
          <w:p>
            <w:pPr>
              <w:tabs>
                <w:tab w:val="left" w:pos="3327"/>
              </w:tabs>
              <w:spacing w:line="360" w:lineRule="auto"/>
              <w:outlineLvl w:val="9"/>
              <w:rPr>
                <w:rFonts w:ascii="宋体" w:hAnsi="宋体"/>
                <w:sz w:val="24"/>
              </w:rPr>
            </w:pPr>
          </w:p>
        </w:tc>
        <w:tc>
          <w:tcPr>
            <w:tcW w:w="1450"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12" w:type="dxa"/>
            <w:vAlign w:val="center"/>
          </w:tcPr>
          <w:p>
            <w:pPr>
              <w:tabs>
                <w:tab w:val="left" w:pos="3327"/>
              </w:tabs>
              <w:spacing w:line="360" w:lineRule="auto"/>
              <w:outlineLvl w:val="9"/>
              <w:rPr>
                <w:rFonts w:ascii="宋体" w:hAnsi="宋体"/>
                <w:sz w:val="24"/>
              </w:rPr>
            </w:pPr>
          </w:p>
        </w:tc>
        <w:tc>
          <w:tcPr>
            <w:tcW w:w="825" w:type="dxa"/>
            <w:vAlign w:val="center"/>
          </w:tcPr>
          <w:p>
            <w:pPr>
              <w:tabs>
                <w:tab w:val="left" w:pos="3327"/>
              </w:tabs>
              <w:spacing w:line="360" w:lineRule="auto"/>
              <w:outlineLvl w:val="9"/>
              <w:rPr>
                <w:rFonts w:ascii="宋体" w:hAnsi="宋体"/>
                <w:color w:val="00B0F0"/>
                <w:sz w:val="24"/>
              </w:rPr>
            </w:pPr>
          </w:p>
        </w:tc>
        <w:tc>
          <w:tcPr>
            <w:tcW w:w="1463" w:type="dxa"/>
            <w:vAlign w:val="center"/>
          </w:tcPr>
          <w:p>
            <w:pPr>
              <w:tabs>
                <w:tab w:val="left" w:pos="3327"/>
              </w:tabs>
              <w:spacing w:line="360" w:lineRule="auto"/>
              <w:outlineLvl w:val="9"/>
              <w:rPr>
                <w:rFonts w:ascii="宋体" w:hAnsi="宋体"/>
                <w:color w:val="FF0000"/>
                <w:sz w:val="24"/>
              </w:rPr>
            </w:pPr>
          </w:p>
        </w:tc>
        <w:tc>
          <w:tcPr>
            <w:tcW w:w="1612"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38" w:type="dxa"/>
            <w:vAlign w:val="center"/>
          </w:tcPr>
          <w:p>
            <w:pPr>
              <w:spacing w:line="360" w:lineRule="auto"/>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691" w:type="dxa"/>
            <w:vAlign w:val="center"/>
          </w:tcPr>
          <w:p>
            <w:pPr>
              <w:tabs>
                <w:tab w:val="left" w:pos="3327"/>
              </w:tabs>
              <w:spacing w:line="360" w:lineRule="auto"/>
              <w:jc w:val="center"/>
              <w:outlineLvl w:val="9"/>
              <w:rPr>
                <w:rFonts w:ascii="宋体" w:hAnsi="宋体"/>
                <w:sz w:val="24"/>
              </w:rPr>
            </w:pPr>
            <w:r>
              <w:rPr>
                <w:rFonts w:hint="eastAsia" w:ascii="宋体" w:hAnsi="宋体"/>
                <w:sz w:val="24"/>
              </w:rPr>
              <w:t>……</w:t>
            </w:r>
          </w:p>
        </w:tc>
        <w:tc>
          <w:tcPr>
            <w:tcW w:w="863" w:type="dxa"/>
            <w:vAlign w:val="center"/>
          </w:tcPr>
          <w:p>
            <w:pPr>
              <w:tabs>
                <w:tab w:val="left" w:pos="3327"/>
              </w:tabs>
              <w:spacing w:line="360" w:lineRule="auto"/>
              <w:outlineLvl w:val="9"/>
              <w:rPr>
                <w:rFonts w:ascii="宋体" w:hAnsi="宋体"/>
                <w:sz w:val="24"/>
              </w:rPr>
            </w:pPr>
          </w:p>
        </w:tc>
        <w:tc>
          <w:tcPr>
            <w:tcW w:w="1450"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12" w:type="dxa"/>
            <w:vAlign w:val="center"/>
          </w:tcPr>
          <w:p>
            <w:pPr>
              <w:tabs>
                <w:tab w:val="left" w:pos="3327"/>
              </w:tabs>
              <w:spacing w:line="360" w:lineRule="auto"/>
              <w:outlineLvl w:val="9"/>
              <w:rPr>
                <w:rFonts w:ascii="宋体" w:hAnsi="宋体"/>
                <w:sz w:val="24"/>
              </w:rPr>
            </w:pPr>
          </w:p>
        </w:tc>
        <w:tc>
          <w:tcPr>
            <w:tcW w:w="825" w:type="dxa"/>
            <w:vAlign w:val="center"/>
          </w:tcPr>
          <w:p>
            <w:pPr>
              <w:tabs>
                <w:tab w:val="left" w:pos="3327"/>
              </w:tabs>
              <w:spacing w:line="360" w:lineRule="auto"/>
              <w:outlineLvl w:val="9"/>
              <w:rPr>
                <w:rFonts w:ascii="宋体" w:hAnsi="宋体"/>
                <w:color w:val="00B0F0"/>
                <w:sz w:val="24"/>
              </w:rPr>
            </w:pPr>
          </w:p>
        </w:tc>
        <w:tc>
          <w:tcPr>
            <w:tcW w:w="1463" w:type="dxa"/>
            <w:vAlign w:val="center"/>
          </w:tcPr>
          <w:p>
            <w:pPr>
              <w:tabs>
                <w:tab w:val="left" w:pos="3327"/>
              </w:tabs>
              <w:spacing w:line="360" w:lineRule="auto"/>
              <w:outlineLvl w:val="9"/>
              <w:rPr>
                <w:rFonts w:ascii="宋体" w:hAnsi="宋体"/>
                <w:color w:val="FF0000"/>
                <w:sz w:val="24"/>
              </w:rPr>
            </w:pPr>
          </w:p>
        </w:tc>
        <w:tc>
          <w:tcPr>
            <w:tcW w:w="1612" w:type="dxa"/>
            <w:vAlign w:val="center"/>
          </w:tcPr>
          <w:p>
            <w:pPr>
              <w:tabs>
                <w:tab w:val="left" w:pos="3327"/>
              </w:tabs>
              <w:spacing w:line="360" w:lineRule="auto"/>
              <w:outlineLvl w:val="9"/>
              <w:rPr>
                <w:rFonts w:ascii="宋体" w:hAnsi="宋体"/>
                <w:sz w:val="24"/>
              </w:rPr>
            </w:pPr>
          </w:p>
        </w:tc>
        <w:tc>
          <w:tcPr>
            <w:tcW w:w="950" w:type="dxa"/>
            <w:vAlign w:val="center"/>
          </w:tcPr>
          <w:p>
            <w:pPr>
              <w:tabs>
                <w:tab w:val="left" w:pos="3327"/>
              </w:tabs>
              <w:spacing w:line="360" w:lineRule="auto"/>
              <w:outlineLvl w:val="9"/>
              <w:rPr>
                <w:rFonts w:ascii="宋体" w:hAnsi="宋体"/>
                <w:sz w:val="24"/>
              </w:rPr>
            </w:pPr>
          </w:p>
        </w:tc>
        <w:tc>
          <w:tcPr>
            <w:tcW w:w="738" w:type="dxa"/>
            <w:vAlign w:val="center"/>
          </w:tcPr>
          <w:p>
            <w:pPr>
              <w:spacing w:line="360" w:lineRule="auto"/>
              <w:jc w:val="center"/>
              <w:outlineLvl w:val="9"/>
              <w:rPr>
                <w:rFonts w:ascii="宋体" w:hAnsi="宋体"/>
                <w:sz w:val="24"/>
              </w:rPr>
            </w:pPr>
          </w:p>
        </w:tc>
      </w:tr>
    </w:tbl>
    <w:p>
      <w:pPr>
        <w:autoSpaceDE w:val="0"/>
        <w:autoSpaceDN w:val="0"/>
        <w:spacing w:line="360" w:lineRule="auto"/>
        <w:outlineLvl w:val="9"/>
        <w:rPr>
          <w:rFonts w:ascii="宋体" w:hAnsi="宋体" w:cs="Arial"/>
          <w:b/>
          <w:bCs/>
          <w:sz w:val="24"/>
          <w:lang w:val="zh-CN"/>
        </w:rPr>
      </w:pPr>
      <w:r>
        <w:rPr>
          <w:rFonts w:ascii="宋体" w:hAnsi="宋体" w:cs="Arial"/>
          <w:b/>
          <w:bCs/>
          <w:sz w:val="24"/>
          <w:lang w:val="zh-CN"/>
        </w:rPr>
        <w:t>注：1</w:t>
      </w:r>
      <w:r>
        <w:rPr>
          <w:rFonts w:hint="eastAsia" w:ascii="宋体" w:hAnsi="宋体" w:cs="Arial"/>
          <w:b/>
          <w:bCs/>
          <w:sz w:val="24"/>
          <w:lang w:val="zh-CN"/>
        </w:rPr>
        <w:t>、</w:t>
      </w:r>
      <w:r>
        <w:rPr>
          <w:rFonts w:ascii="宋体" w:hAnsi="宋体" w:cs="Arial"/>
          <w:b/>
          <w:bCs/>
          <w:sz w:val="24"/>
          <w:lang w:val="zh-CN"/>
        </w:rPr>
        <w:t>本表应按照</w:t>
      </w:r>
      <w:r>
        <w:rPr>
          <w:rFonts w:hint="eastAsia" w:ascii="宋体" w:hAnsi="宋体" w:cs="Arial"/>
          <w:b/>
          <w:bCs/>
          <w:sz w:val="24"/>
          <w:lang w:val="zh-CN"/>
        </w:rPr>
        <w:t>采购项目参数及要求</w:t>
      </w:r>
      <w:r>
        <w:rPr>
          <w:rFonts w:ascii="宋体" w:hAnsi="宋体" w:cs="Arial"/>
          <w:b/>
          <w:bCs/>
          <w:sz w:val="24"/>
          <w:lang w:val="zh-CN"/>
        </w:rPr>
        <w:t>中产品序号的指标逐项填写，不得遗漏。</w:t>
      </w:r>
    </w:p>
    <w:p>
      <w:pPr>
        <w:numPr>
          <w:ilvl w:val="0"/>
          <w:numId w:val="27"/>
        </w:numPr>
        <w:autoSpaceDE w:val="0"/>
        <w:autoSpaceDN w:val="0"/>
        <w:spacing w:line="360" w:lineRule="auto"/>
        <w:ind w:firstLine="482" w:firstLineChars="200"/>
        <w:outlineLvl w:val="9"/>
        <w:rPr>
          <w:rFonts w:hint="eastAsia" w:ascii="宋体" w:hAnsi="宋体" w:cs="Arial"/>
          <w:b/>
          <w:bCs/>
          <w:sz w:val="24"/>
          <w:highlight w:val="none"/>
          <w:lang w:val="zh-CN"/>
        </w:rPr>
      </w:pPr>
      <w:r>
        <w:rPr>
          <w:rFonts w:hint="eastAsia" w:ascii="宋体" w:hAnsi="宋体" w:cs="Arial"/>
          <w:b/>
          <w:bCs/>
          <w:sz w:val="24"/>
          <w:lang w:val="zh-CN"/>
        </w:rPr>
        <w:t>“</w:t>
      </w:r>
      <w:r>
        <w:rPr>
          <w:rFonts w:hint="eastAsia" w:ascii="宋体" w:hAnsi="宋体" w:cs="Arial"/>
          <w:b/>
          <w:bCs/>
          <w:sz w:val="24"/>
          <w:highlight w:val="none"/>
          <w:lang w:val="zh-CN"/>
        </w:rPr>
        <w:t>投标产品技术参数、指标”必须与投标文件中提供的</w:t>
      </w:r>
      <w:r>
        <w:rPr>
          <w:rFonts w:hint="eastAsia" w:ascii="宋体" w:hAnsi="宋体" w:cs="Arial"/>
          <w:b/>
          <w:bCs/>
          <w:sz w:val="24"/>
          <w:highlight w:val="none"/>
          <w:lang w:val="en-US" w:eastAsia="zh-CN"/>
        </w:rPr>
        <w:t>相关</w:t>
      </w:r>
      <w:r>
        <w:rPr>
          <w:rFonts w:hint="eastAsia" w:ascii="宋体" w:hAnsi="宋体" w:cs="Arial"/>
          <w:b/>
          <w:bCs/>
          <w:sz w:val="24"/>
          <w:highlight w:val="none"/>
          <w:lang w:val="zh-CN"/>
        </w:rPr>
        <w:t>证明材料的实质性响应情况相一致。</w:t>
      </w:r>
    </w:p>
    <w:p>
      <w:pPr>
        <w:numPr>
          <w:ilvl w:val="0"/>
          <w:numId w:val="0"/>
        </w:numPr>
        <w:autoSpaceDE w:val="0"/>
        <w:autoSpaceDN w:val="0"/>
        <w:spacing w:line="360" w:lineRule="auto"/>
        <w:ind w:firstLine="482" w:firstLineChars="200"/>
        <w:outlineLvl w:val="9"/>
        <w:rPr>
          <w:rFonts w:ascii="宋体" w:hAnsi="宋体" w:cs="Arial"/>
          <w:b/>
          <w:bCs/>
          <w:sz w:val="24"/>
          <w:lang w:val="zh-CN"/>
        </w:rPr>
      </w:pPr>
      <w:r>
        <w:rPr>
          <w:rFonts w:ascii="宋体" w:hAnsi="宋体" w:cs="Arial"/>
          <w:b/>
          <w:bCs/>
          <w:sz w:val="24"/>
          <w:lang w:val="zh-CN"/>
        </w:rPr>
        <w:t>3</w:t>
      </w:r>
      <w:r>
        <w:rPr>
          <w:rFonts w:hint="eastAsia" w:ascii="宋体" w:hAnsi="宋体" w:cs="Arial"/>
          <w:b/>
          <w:bCs/>
          <w:sz w:val="24"/>
          <w:lang w:val="zh-CN"/>
        </w:rPr>
        <w:t>、投标供应商响应采购需求应具体、明确，应以招标项目参数要求为基本投标要求，对超出或不满足招标项目参数要求的指标需列出“</w:t>
      </w:r>
      <w:r>
        <w:rPr>
          <w:rFonts w:ascii="宋体" w:hAnsi="宋体" w:cs="Arial"/>
          <w:b/>
          <w:bCs/>
          <w:sz w:val="24"/>
          <w:lang w:val="zh-CN"/>
        </w:rPr>
        <w:t>+</w:t>
      </w:r>
      <w:r>
        <w:rPr>
          <w:rFonts w:hint="eastAsia" w:ascii="宋体" w:hAnsi="宋体" w:cs="Arial"/>
          <w:b/>
          <w:bCs/>
          <w:sz w:val="24"/>
          <w:lang w:val="zh-CN"/>
        </w:rPr>
        <w:t>、</w:t>
      </w:r>
      <w:r>
        <w:rPr>
          <w:rFonts w:ascii="宋体" w:hAnsi="宋体" w:cs="Arial"/>
          <w:b/>
          <w:bCs/>
          <w:sz w:val="24"/>
          <w:lang w:val="zh-CN"/>
        </w:rPr>
        <w:t>-</w:t>
      </w:r>
      <w:r>
        <w:rPr>
          <w:rFonts w:hint="eastAsia" w:ascii="宋体" w:hAnsi="宋体" w:cs="Arial"/>
          <w:b/>
          <w:bCs/>
          <w:sz w:val="24"/>
          <w:lang w:val="zh-CN"/>
        </w:rPr>
        <w:t>”偏差，并做出详细说明；如果只注明“</w:t>
      </w:r>
      <w:r>
        <w:rPr>
          <w:rFonts w:ascii="宋体" w:hAnsi="宋体" w:cs="Arial"/>
          <w:b/>
          <w:bCs/>
          <w:sz w:val="24"/>
          <w:lang w:val="zh-CN"/>
        </w:rPr>
        <w:t>+</w:t>
      </w:r>
      <w:r>
        <w:rPr>
          <w:rFonts w:hint="eastAsia" w:ascii="宋体" w:hAnsi="宋体" w:cs="Arial"/>
          <w:b/>
          <w:bCs/>
          <w:sz w:val="24"/>
          <w:lang w:val="zh-CN"/>
        </w:rPr>
        <w:t>”、“</w:t>
      </w:r>
      <w:r>
        <w:rPr>
          <w:rFonts w:ascii="宋体" w:hAnsi="宋体" w:cs="Arial"/>
          <w:b/>
          <w:bCs/>
          <w:sz w:val="24"/>
          <w:lang w:val="zh-CN"/>
        </w:rPr>
        <w:t>-</w:t>
      </w:r>
      <w:r>
        <w:rPr>
          <w:rFonts w:hint="eastAsia" w:ascii="宋体" w:hAnsi="宋体" w:cs="Arial"/>
          <w:b/>
          <w:bCs/>
          <w:sz w:val="24"/>
          <w:lang w:val="zh-CN"/>
        </w:rPr>
        <w:t>”或未填写，将视为该项指标不响应。</w:t>
      </w:r>
    </w:p>
    <w:p>
      <w:pPr>
        <w:autoSpaceDE w:val="0"/>
        <w:autoSpaceDN w:val="0"/>
        <w:spacing w:line="360" w:lineRule="auto"/>
        <w:ind w:firstLine="482" w:firstLineChars="200"/>
        <w:outlineLvl w:val="9"/>
        <w:rPr>
          <w:rFonts w:ascii="宋体" w:hAnsi="宋体" w:cs="Arial"/>
          <w:b/>
          <w:bCs/>
          <w:sz w:val="24"/>
          <w:lang w:val="zh-CN"/>
        </w:rPr>
      </w:pPr>
      <w:r>
        <w:rPr>
          <w:rFonts w:ascii="宋体" w:hAnsi="宋体" w:cs="Arial"/>
          <w:b/>
          <w:bCs/>
          <w:sz w:val="24"/>
          <w:lang w:val="zh-CN"/>
        </w:rPr>
        <w:t>4</w:t>
      </w:r>
      <w:r>
        <w:rPr>
          <w:rFonts w:hint="eastAsia" w:ascii="宋体" w:hAnsi="宋体" w:cs="Arial"/>
          <w:b/>
          <w:bCs/>
          <w:sz w:val="24"/>
          <w:lang w:val="zh-CN"/>
        </w:rPr>
        <w:t>、投标供应商应按投标产品实际情况填写，不得照抄、复制招标文件技术参数要求。</w:t>
      </w:r>
    </w:p>
    <w:p>
      <w:pPr>
        <w:autoSpaceDE w:val="0"/>
        <w:autoSpaceDN w:val="0"/>
        <w:spacing w:line="360" w:lineRule="auto"/>
        <w:ind w:firstLine="482" w:firstLineChars="200"/>
        <w:outlineLvl w:val="9"/>
        <w:rPr>
          <w:rFonts w:ascii="宋体" w:hAnsi="宋体" w:cs="Arial"/>
          <w:b/>
          <w:bCs/>
          <w:sz w:val="24"/>
          <w:lang w:val="zh-CN"/>
        </w:rPr>
      </w:pPr>
      <w:r>
        <w:rPr>
          <w:rFonts w:ascii="宋体" w:hAnsi="宋体" w:cs="Arial"/>
          <w:b/>
          <w:bCs/>
          <w:sz w:val="24"/>
          <w:lang w:val="zh-CN"/>
        </w:rPr>
        <w:t>5</w:t>
      </w:r>
      <w:r>
        <w:rPr>
          <w:rFonts w:hint="eastAsia" w:ascii="宋体" w:hAnsi="宋体" w:cs="Arial"/>
          <w:b/>
          <w:bCs/>
          <w:sz w:val="24"/>
          <w:lang w:val="zh-CN"/>
        </w:rPr>
        <w:t>、投标供应商响应采购需求应具体、明确，含糊不清、不确切或伪造、编造证明材料的，按照实质性不响应处理。对伪造、编造证明材料的，将报送采购监管部门查处。</w:t>
      </w:r>
    </w:p>
    <w:p>
      <w:pPr>
        <w:autoSpaceDE w:val="0"/>
        <w:autoSpaceDN w:val="0"/>
        <w:adjustRightInd w:val="0"/>
        <w:spacing w:line="360" w:lineRule="auto"/>
        <w:outlineLvl w:val="9"/>
        <w:rPr>
          <w:rFonts w:ascii="宋体" w:hAnsi="宋体" w:cs="宋体"/>
          <w:b/>
          <w:bCs/>
          <w:kern w:val="0"/>
          <w:sz w:val="24"/>
          <w:lang w:val="zh-CN"/>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numPr>
          <w:ilvl w:val="0"/>
          <w:numId w:val="0"/>
        </w:numPr>
        <w:tabs>
          <w:tab w:val="left" w:pos="425"/>
          <w:tab w:val="left" w:pos="720"/>
          <w:tab w:val="left" w:pos="1985"/>
          <w:tab w:val="left" w:pos="7088"/>
        </w:tabs>
        <w:outlineLvl w:val="1"/>
        <w:rPr>
          <w:rFonts w:hAnsi="宋体" w:cs="宋体"/>
          <w:bCs/>
          <w:sz w:val="24"/>
          <w:szCs w:val="24"/>
        </w:rPr>
      </w:pPr>
      <w:r>
        <w:rPr>
          <w:rFonts w:hAnsi="宋体"/>
          <w:bCs/>
          <w:sz w:val="24"/>
          <w:szCs w:val="24"/>
        </w:rPr>
        <w:br w:type="page"/>
      </w:r>
      <w:bookmarkStart w:id="111" w:name="_Toc5259"/>
      <w:r>
        <w:rPr>
          <w:rFonts w:hint="eastAsia" w:hAnsi="宋体"/>
          <w:b/>
          <w:sz w:val="24"/>
          <w:szCs w:val="24"/>
          <w:lang w:val="zh-CN"/>
        </w:rPr>
        <w:t>格式14、磋商产品相关资料</w:t>
      </w:r>
      <w:bookmarkEnd w:id="111"/>
    </w:p>
    <w:p>
      <w:pPr>
        <w:spacing w:line="360" w:lineRule="auto"/>
        <w:outlineLvl w:val="9"/>
        <w:rPr>
          <w:rFonts w:ascii="宋体" w:hAnsi="宋体"/>
          <w:b/>
          <w:bCs/>
          <w:kern w:val="28"/>
          <w:sz w:val="24"/>
          <w:lang w:val="zh-CN"/>
        </w:rPr>
      </w:pPr>
    </w:p>
    <w:p>
      <w:pPr>
        <w:autoSpaceDE w:val="0"/>
        <w:autoSpaceDN w:val="0"/>
        <w:adjustRightInd w:val="0"/>
        <w:spacing w:line="360" w:lineRule="auto"/>
        <w:jc w:val="center"/>
        <w:outlineLvl w:val="9"/>
        <w:rPr>
          <w:rFonts w:ascii="宋体" w:hAnsi="宋体" w:cs="Arial"/>
          <w:bCs/>
          <w:sz w:val="24"/>
          <w:lang w:val="zh-CN"/>
        </w:rPr>
      </w:pPr>
      <w:r>
        <w:rPr>
          <w:rFonts w:hint="eastAsia" w:ascii="宋体" w:hAnsi="宋体" w:cs="宋体"/>
          <w:b/>
          <w:bCs/>
          <w:kern w:val="0"/>
          <w:sz w:val="24"/>
          <w:lang w:val="zh-CN"/>
        </w:rPr>
        <w:t>磋商</w:t>
      </w:r>
      <w:r>
        <w:rPr>
          <w:rFonts w:ascii="宋体" w:hAnsi="宋体" w:cs="宋体"/>
          <w:b/>
          <w:bCs/>
          <w:kern w:val="0"/>
          <w:sz w:val="24"/>
          <w:lang w:val="zh-CN"/>
        </w:rPr>
        <w:t>产品相关资料</w:t>
      </w:r>
    </w:p>
    <w:p>
      <w:pPr>
        <w:spacing w:line="360" w:lineRule="auto"/>
        <w:ind w:firstLine="424" w:firstLineChars="177"/>
        <w:outlineLvl w:val="9"/>
        <w:rPr>
          <w:rFonts w:ascii="宋体" w:hAnsi="宋体"/>
          <w:b/>
          <w:sz w:val="24"/>
          <w:lang w:val="zh-CN"/>
        </w:rPr>
      </w:pPr>
      <w:r>
        <w:rPr>
          <w:rFonts w:hint="eastAsia" w:ascii="宋体" w:hAnsi="宋体" w:cs="Arial"/>
          <w:sz w:val="24"/>
        </w:rPr>
        <w:t>根据采购项目内容，磋商时提供国家认可的质监机构出具的磋商产品的产品材料</w:t>
      </w:r>
      <w:r>
        <w:rPr>
          <w:rFonts w:hint="eastAsia" w:ascii="宋体" w:hAnsi="宋体" w:cs="Arial"/>
          <w:sz w:val="24"/>
          <w:lang w:val="en-US" w:eastAsia="zh-CN"/>
        </w:rPr>
        <w:t>相关</w:t>
      </w:r>
      <w:r>
        <w:rPr>
          <w:rFonts w:hint="eastAsia" w:ascii="宋体" w:hAnsi="宋体" w:cs="Arial"/>
          <w:sz w:val="24"/>
        </w:rPr>
        <w:t>检验报告或彩页或证明技术参数响应的相关资料（或厂家公开发布的资料参数）或相关认证等</w:t>
      </w:r>
      <w:r>
        <w:rPr>
          <w:rFonts w:hint="eastAsia" w:ascii="宋体" w:hAnsi="宋体" w:cs="Arial"/>
          <w:sz w:val="24"/>
          <w:lang w:val="en-US" w:eastAsia="zh-CN"/>
        </w:rPr>
        <w:t>技术</w:t>
      </w:r>
      <w:r>
        <w:rPr>
          <w:rFonts w:hint="eastAsia" w:ascii="宋体" w:hAnsi="宋体" w:cs="Arial"/>
          <w:sz w:val="24"/>
        </w:rPr>
        <w:t>资料。</w:t>
      </w:r>
      <w:bookmarkEnd w:id="108"/>
      <w:bookmarkEnd w:id="109"/>
      <w:bookmarkEnd w:id="110"/>
    </w:p>
    <w:p>
      <w:pPr>
        <w:numPr>
          <w:ilvl w:val="0"/>
          <w:numId w:val="0"/>
        </w:numPr>
        <w:tabs>
          <w:tab w:val="left" w:pos="425"/>
          <w:tab w:val="left" w:pos="720"/>
          <w:tab w:val="left" w:pos="1985"/>
          <w:tab w:val="left" w:pos="7088"/>
        </w:tabs>
        <w:ind w:left="709" w:hanging="709"/>
        <w:outlineLvl w:val="1"/>
        <w:rPr>
          <w:rFonts w:hAnsi="宋体" w:cs="宋体"/>
          <w:sz w:val="24"/>
          <w:szCs w:val="24"/>
        </w:rPr>
      </w:pPr>
      <w:r>
        <w:rPr>
          <w:rFonts w:hAnsi="宋体"/>
          <w:bCs/>
          <w:sz w:val="24"/>
          <w:szCs w:val="24"/>
        </w:rPr>
        <w:br w:type="page"/>
      </w:r>
      <w:bookmarkStart w:id="112" w:name="_Toc19071"/>
      <w:r>
        <w:rPr>
          <w:rFonts w:hint="eastAsia" w:hAnsi="宋体"/>
          <w:b/>
          <w:sz w:val="24"/>
          <w:szCs w:val="24"/>
          <w:lang w:val="zh-CN"/>
        </w:rPr>
        <w:t>格式15、供应商的类似业绩证明材料</w:t>
      </w:r>
      <w:bookmarkEnd w:id="112"/>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jc w:val="center"/>
        <w:outlineLvl w:val="9"/>
        <w:rPr>
          <w:rFonts w:ascii="宋体" w:hAnsi="宋体" w:cs="宋体"/>
          <w:b/>
          <w:bCs/>
          <w:kern w:val="0"/>
          <w:sz w:val="24"/>
          <w:lang w:val="zh-CN"/>
        </w:rPr>
      </w:pPr>
      <w:r>
        <w:rPr>
          <w:rFonts w:hint="eastAsia" w:ascii="宋体" w:hAnsi="宋体" w:cs="宋体"/>
          <w:b/>
          <w:bCs/>
          <w:kern w:val="0"/>
          <w:sz w:val="24"/>
          <w:lang w:val="zh-CN"/>
        </w:rPr>
        <w:t>供应商的类似业绩证明材料</w:t>
      </w:r>
    </w:p>
    <w:p>
      <w:pPr>
        <w:autoSpaceDE w:val="0"/>
        <w:autoSpaceDN w:val="0"/>
        <w:adjustRightInd w:val="0"/>
        <w:spacing w:line="360" w:lineRule="auto"/>
        <w:outlineLvl w:val="9"/>
        <w:rPr>
          <w:rFonts w:ascii="宋体" w:hAnsi="宋体" w:cs="宋体"/>
          <w:kern w:val="0"/>
          <w:sz w:val="24"/>
          <w:lang w:val="zh-CN"/>
        </w:rPr>
      </w:pPr>
    </w:p>
    <w:p>
      <w:pPr>
        <w:autoSpaceDE w:val="0"/>
        <w:autoSpaceDN w:val="0"/>
        <w:adjustRightInd w:val="0"/>
        <w:spacing w:line="360" w:lineRule="auto"/>
        <w:ind w:firstLine="840" w:firstLineChars="350"/>
        <w:outlineLvl w:val="9"/>
        <w:rPr>
          <w:rFonts w:ascii="宋体" w:hAnsi="宋体" w:cs="宋体"/>
          <w:kern w:val="0"/>
          <w:sz w:val="24"/>
          <w:lang w:val="zh-CN"/>
        </w:rPr>
      </w:pPr>
      <w:r>
        <w:rPr>
          <w:rFonts w:hint="eastAsia" w:ascii="宋体" w:hAnsi="宋体" w:cs="宋体"/>
          <w:kern w:val="0"/>
          <w:sz w:val="24"/>
          <w:lang w:val="zh-CN"/>
        </w:rPr>
        <w:t>根据评分表要求提供相应的业绩证明材料</w:t>
      </w:r>
      <w:r>
        <w:rPr>
          <w:rFonts w:ascii="宋体" w:hAnsi="宋体" w:cs="宋体"/>
          <w:kern w:val="0"/>
          <w:sz w:val="24"/>
          <w:lang w:val="zh-CN"/>
        </w:rPr>
        <w:t>。</w:t>
      </w:r>
    </w:p>
    <w:p>
      <w:pPr>
        <w:numPr>
          <w:ilvl w:val="0"/>
          <w:numId w:val="0"/>
        </w:numPr>
        <w:tabs>
          <w:tab w:val="left" w:pos="425"/>
          <w:tab w:val="left" w:pos="720"/>
          <w:tab w:val="left" w:pos="1985"/>
          <w:tab w:val="left" w:pos="7088"/>
        </w:tabs>
        <w:ind w:left="709" w:hanging="709"/>
        <w:outlineLvl w:val="1"/>
        <w:rPr>
          <w:rFonts w:hAnsi="宋体"/>
          <w:b/>
          <w:sz w:val="24"/>
          <w:szCs w:val="24"/>
          <w:lang w:val="zh-CN"/>
        </w:rPr>
      </w:pPr>
      <w:r>
        <w:rPr>
          <w:rFonts w:hAnsi="宋体"/>
          <w:bCs/>
          <w:sz w:val="24"/>
          <w:szCs w:val="24"/>
        </w:rPr>
        <w:br w:type="page"/>
      </w:r>
      <w:bookmarkStart w:id="113" w:name="_Toc31297"/>
      <w:r>
        <w:rPr>
          <w:rFonts w:hint="eastAsia" w:hAnsi="宋体"/>
          <w:b/>
          <w:sz w:val="24"/>
          <w:szCs w:val="24"/>
          <w:lang w:val="zh-CN"/>
        </w:rPr>
        <w:t>格式16、落实政府采购政策需满足的资格证明材料</w:t>
      </w:r>
      <w:bookmarkEnd w:id="113"/>
    </w:p>
    <w:p>
      <w:pPr>
        <w:autoSpaceDE w:val="0"/>
        <w:autoSpaceDN w:val="0"/>
        <w:spacing w:line="360" w:lineRule="auto"/>
        <w:jc w:val="both"/>
        <w:outlineLvl w:val="9"/>
        <w:rPr>
          <w:b/>
          <w:bCs/>
          <w:kern w:val="0"/>
          <w:sz w:val="28"/>
          <w:szCs w:val="28"/>
        </w:rPr>
      </w:pPr>
      <w:bookmarkStart w:id="114" w:name="_Toc25276"/>
    </w:p>
    <w:bookmarkEnd w:id="114"/>
    <w:p>
      <w:pPr>
        <w:autoSpaceDE w:val="0"/>
        <w:autoSpaceDN w:val="0"/>
        <w:spacing w:line="360" w:lineRule="auto"/>
        <w:jc w:val="center"/>
        <w:outlineLvl w:val="9"/>
        <w:rPr>
          <w:b/>
          <w:bCs/>
          <w:kern w:val="0"/>
          <w:sz w:val="36"/>
          <w:szCs w:val="36"/>
          <w:lang w:val="zh-CN"/>
        </w:rPr>
      </w:pPr>
      <w:r>
        <w:rPr>
          <w:rFonts w:hint="eastAsia"/>
          <w:b/>
          <w:bCs/>
          <w:kern w:val="0"/>
          <w:sz w:val="28"/>
          <w:szCs w:val="28"/>
        </w:rPr>
        <w:t>中小</w:t>
      </w:r>
      <w:r>
        <w:rPr>
          <w:b/>
          <w:bCs/>
          <w:kern w:val="0"/>
          <w:sz w:val="28"/>
          <w:szCs w:val="28"/>
          <w:lang w:val="zh-CN"/>
        </w:rPr>
        <w:t>企业声明函</w:t>
      </w:r>
    </w:p>
    <w:p>
      <w:pPr>
        <w:autoSpaceDE w:val="0"/>
        <w:autoSpaceDN w:val="0"/>
        <w:spacing w:line="360" w:lineRule="auto"/>
        <w:outlineLvl w:val="9"/>
        <w:rPr>
          <w:kern w:val="0"/>
          <w:sz w:val="28"/>
          <w:szCs w:val="28"/>
          <w:lang w:val="zh-CN"/>
        </w:rPr>
      </w:pP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 xml:space="preserve">  本公司（联合体）郑重声明，根据《政府采购促进中小企业发展管理办法》（财库</w:t>
      </w:r>
      <w:r>
        <w:rPr>
          <w:rFonts w:hint="eastAsia" w:ascii="宋体" w:hAnsi="宋体" w:cs="宋体"/>
          <w:kern w:val="0"/>
          <w:sz w:val="24"/>
        </w:rPr>
        <w:t>﹝</w:t>
      </w:r>
      <w:r>
        <w:rPr>
          <w:rFonts w:ascii="宋体" w:hAnsi="宋体" w:cs="仿宋"/>
          <w:kern w:val="0"/>
          <w:sz w:val="24"/>
        </w:rPr>
        <w:t>2020</w:t>
      </w:r>
      <w:r>
        <w:rPr>
          <w:rFonts w:hint="eastAsia" w:ascii="宋体" w:hAnsi="宋体" w:cs="宋体"/>
          <w:kern w:val="0"/>
          <w:sz w:val="24"/>
        </w:rPr>
        <w:t>﹞</w:t>
      </w:r>
      <w:r>
        <w:rPr>
          <w:rFonts w:ascii="宋体" w:hAnsi="宋体" w:cs="仿宋"/>
          <w:kern w:val="0"/>
          <w:sz w:val="24"/>
        </w:rPr>
        <w:t xml:space="preserve">46 </w:t>
      </w:r>
      <w:r>
        <w:rPr>
          <w:rFonts w:hint="eastAsia" w:ascii="宋体" w:hAnsi="宋体" w:cs="仿宋"/>
          <w:kern w:val="0"/>
          <w:sz w:val="24"/>
        </w:rPr>
        <w:t>号）的规定，本公司（联合体）参加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 xml:space="preserve">  </w:t>
      </w:r>
      <w:r>
        <w:rPr>
          <w:rFonts w:ascii="宋体" w:hAnsi="宋体" w:cs="仿宋"/>
          <w:kern w:val="0"/>
          <w:sz w:val="24"/>
        </w:rPr>
        <w:t xml:space="preserve">1. </w:t>
      </w:r>
      <w:r>
        <w:rPr>
          <w:rFonts w:hint="eastAsia" w:ascii="宋体" w:hAnsi="宋体" w:cs="仿宋"/>
          <w:kern w:val="0"/>
          <w:sz w:val="24"/>
          <w:u w:val="single"/>
        </w:rPr>
        <w:t>（标的名称）</w:t>
      </w:r>
      <w:r>
        <w:rPr>
          <w:rFonts w:ascii="宋体" w:hAnsi="宋体" w:cs="仿宋"/>
          <w:kern w:val="0"/>
          <w:sz w:val="24"/>
          <w:u w:val="single"/>
        </w:rPr>
        <w:t xml:space="preserve">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rPr>
        <w:t>（中型企业、小型企业）</w:t>
      </w:r>
      <w:r>
        <w:rPr>
          <w:rFonts w:hint="eastAsia" w:ascii="宋体" w:hAnsi="宋体" w:cs="仿宋"/>
          <w:kern w:val="0"/>
          <w:sz w:val="24"/>
        </w:rPr>
        <w:t>；</w:t>
      </w: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 xml:space="preserve">  </w:t>
      </w:r>
      <w:r>
        <w:rPr>
          <w:rFonts w:ascii="宋体" w:hAnsi="宋体" w:cs="仿宋"/>
          <w:kern w:val="0"/>
          <w:sz w:val="24"/>
        </w:rPr>
        <w:t xml:space="preserve">2. </w:t>
      </w:r>
      <w:r>
        <w:rPr>
          <w:rFonts w:hint="eastAsia" w:ascii="宋体" w:hAnsi="宋体" w:cs="仿宋"/>
          <w:kern w:val="0"/>
          <w:sz w:val="24"/>
          <w:u w:val="single"/>
        </w:rPr>
        <w:t>（标的名称）</w:t>
      </w:r>
      <w:r>
        <w:rPr>
          <w:rFonts w:ascii="宋体" w:hAnsi="宋体" w:cs="仿宋"/>
          <w:kern w:val="0"/>
          <w:sz w:val="24"/>
          <w:u w:val="single"/>
        </w:rPr>
        <w:t xml:space="preserve">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rPr>
        <w:t>（中型企业、小型企业）</w:t>
      </w:r>
      <w:r>
        <w:rPr>
          <w:rFonts w:hint="eastAsia" w:ascii="宋体" w:hAnsi="宋体" w:cs="仿宋"/>
          <w:kern w:val="0"/>
          <w:sz w:val="24"/>
        </w:rPr>
        <w:t>；</w:t>
      </w: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w:t>
      </w: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 xml:space="preserve">  以上企业，不属于大企业的分支机构，不存在控股股东为大企业的情形，也不存在与大企业的负责人为同一人的情形。</w:t>
      </w:r>
    </w:p>
    <w:p>
      <w:pPr>
        <w:autoSpaceDE w:val="0"/>
        <w:autoSpaceDN w:val="0"/>
        <w:adjustRightInd w:val="0"/>
        <w:spacing w:line="360" w:lineRule="auto"/>
        <w:outlineLvl w:val="9"/>
        <w:rPr>
          <w:rFonts w:ascii="宋体" w:hAnsi="宋体" w:cs="仿宋"/>
          <w:kern w:val="0"/>
          <w:sz w:val="24"/>
        </w:rPr>
      </w:pPr>
      <w:r>
        <w:rPr>
          <w:rFonts w:hint="eastAsia" w:ascii="宋体" w:hAnsi="宋体" w:cs="仿宋"/>
          <w:kern w:val="0"/>
          <w:sz w:val="24"/>
        </w:rPr>
        <w:t xml:space="preserve">  本企业对上述声明内容的真实性负责。如有虚假，将依法承担相应责任。</w:t>
      </w:r>
    </w:p>
    <w:p>
      <w:pPr>
        <w:autoSpaceDE w:val="0"/>
        <w:autoSpaceDN w:val="0"/>
        <w:adjustRightInd w:val="0"/>
        <w:spacing w:line="360" w:lineRule="auto"/>
        <w:outlineLvl w:val="9"/>
        <w:rPr>
          <w:rFonts w:hint="eastAsia"/>
          <w:sz w:val="24"/>
        </w:rPr>
      </w:pPr>
      <w:r>
        <w:rPr>
          <w:rFonts w:hint="eastAsia"/>
          <w:sz w:val="24"/>
        </w:rPr>
        <w:t xml:space="preserve">  </w:t>
      </w:r>
    </w:p>
    <w:p>
      <w:pPr>
        <w:autoSpaceDE w:val="0"/>
        <w:autoSpaceDN w:val="0"/>
        <w:adjustRightInd w:val="0"/>
        <w:spacing w:line="360" w:lineRule="auto"/>
        <w:outlineLvl w:val="9"/>
        <w:rPr>
          <w:b/>
          <w:bCs/>
          <w:sz w:val="24"/>
        </w:rPr>
      </w:pPr>
      <w:r>
        <w:rPr>
          <w:b/>
          <w:bCs/>
          <w:sz w:val="24"/>
        </w:rPr>
        <w:t>注：该项目为中小企业预留</w:t>
      </w:r>
      <w:r>
        <w:rPr>
          <w:rFonts w:hint="eastAsia"/>
          <w:b/>
          <w:bCs/>
          <w:sz w:val="24"/>
        </w:rPr>
        <w:t>份额的</w:t>
      </w:r>
      <w:r>
        <w:rPr>
          <w:b/>
          <w:bCs/>
          <w:sz w:val="24"/>
        </w:rPr>
        <w:t>项目，声明函为资格审查项</w:t>
      </w:r>
      <w:r>
        <w:rPr>
          <w:rFonts w:hint="eastAsia"/>
          <w:b/>
          <w:bCs/>
          <w:sz w:val="24"/>
        </w:rPr>
        <w:t>，需按该声明函格式填写，编入资格审查册中并同时单独上传一份至电子评标系统资格审查项。</w:t>
      </w:r>
    </w:p>
    <w:p>
      <w:pPr>
        <w:autoSpaceDE w:val="0"/>
        <w:autoSpaceDN w:val="0"/>
        <w:adjustRightInd w:val="0"/>
        <w:spacing w:line="360" w:lineRule="auto"/>
        <w:outlineLvl w:val="9"/>
        <w:rPr>
          <w:rFonts w:ascii="宋体" w:hAnsi="宋体" w:cs="仿宋"/>
          <w:kern w:val="0"/>
          <w:sz w:val="24"/>
        </w:rPr>
      </w:pPr>
    </w:p>
    <w:p>
      <w:pPr>
        <w:autoSpaceDE w:val="0"/>
        <w:autoSpaceDN w:val="0"/>
        <w:adjustRightInd w:val="0"/>
        <w:spacing w:line="360" w:lineRule="auto"/>
        <w:jc w:val="right"/>
        <w:outlineLvl w:val="9"/>
        <w:rPr>
          <w:rFonts w:ascii="宋体" w:hAnsi="宋体" w:cs="仿宋"/>
          <w:kern w:val="0"/>
          <w:sz w:val="24"/>
        </w:rPr>
      </w:pPr>
    </w:p>
    <w:p>
      <w:pPr>
        <w:autoSpaceDE w:val="0"/>
        <w:autoSpaceDN w:val="0"/>
        <w:adjustRightInd w:val="0"/>
        <w:spacing w:line="360" w:lineRule="auto"/>
        <w:jc w:val="right"/>
        <w:outlineLvl w:val="9"/>
        <w:rPr>
          <w:rFonts w:ascii="宋体" w:hAnsi="宋体" w:cs="仿宋"/>
          <w:kern w:val="0"/>
          <w:sz w:val="24"/>
        </w:rPr>
      </w:pPr>
    </w:p>
    <w:p>
      <w:pPr>
        <w:autoSpaceDE w:val="0"/>
        <w:autoSpaceDN w:val="0"/>
        <w:adjustRightInd w:val="0"/>
        <w:spacing w:line="360" w:lineRule="auto"/>
        <w:jc w:val="right"/>
        <w:outlineLvl w:val="9"/>
        <w:rPr>
          <w:rFonts w:ascii="宋体" w:hAnsi="宋体" w:cs="仿宋"/>
          <w:kern w:val="0"/>
          <w:sz w:val="24"/>
        </w:rPr>
      </w:pPr>
    </w:p>
    <w:p>
      <w:pPr>
        <w:autoSpaceDE w:val="0"/>
        <w:autoSpaceDN w:val="0"/>
        <w:adjustRightInd w:val="0"/>
        <w:spacing w:line="360" w:lineRule="auto"/>
        <w:outlineLvl w:val="9"/>
        <w:rPr>
          <w:rFonts w:ascii="宋体" w:hAnsi="宋体" w:cs="仿宋"/>
          <w:kern w:val="0"/>
          <w:sz w:val="24"/>
        </w:rPr>
      </w:pPr>
    </w:p>
    <w:p>
      <w:pPr>
        <w:autoSpaceDE w:val="0"/>
        <w:autoSpaceDN w:val="0"/>
        <w:adjustRightInd w:val="0"/>
        <w:spacing w:line="360" w:lineRule="auto"/>
        <w:jc w:val="center"/>
        <w:outlineLvl w:val="9"/>
        <w:rPr>
          <w:rFonts w:ascii="宋体" w:hAnsi="宋体" w:cs="仿宋"/>
          <w:kern w:val="0"/>
          <w:sz w:val="24"/>
        </w:rPr>
      </w:pPr>
      <w:r>
        <w:rPr>
          <w:rFonts w:hint="eastAsia" w:ascii="宋体" w:hAnsi="宋体" w:cs="仿宋"/>
          <w:kern w:val="0"/>
          <w:sz w:val="24"/>
        </w:rPr>
        <w:t xml:space="preserve">                                             企业名称（盖章）：   </w:t>
      </w:r>
    </w:p>
    <w:p>
      <w:pPr>
        <w:autoSpaceDE w:val="0"/>
        <w:autoSpaceDN w:val="0"/>
        <w:adjustRightInd w:val="0"/>
        <w:spacing w:line="360" w:lineRule="auto"/>
        <w:jc w:val="center"/>
        <w:outlineLvl w:val="9"/>
        <w:rPr>
          <w:rFonts w:ascii="宋体" w:hAnsi="宋体" w:cs="仿宋"/>
          <w:kern w:val="0"/>
          <w:sz w:val="24"/>
        </w:rPr>
      </w:pPr>
      <w:r>
        <w:rPr>
          <w:rFonts w:hint="eastAsia" w:ascii="宋体" w:hAnsi="宋体" w:cs="仿宋"/>
          <w:kern w:val="0"/>
          <w:sz w:val="24"/>
        </w:rPr>
        <w:t xml:space="preserve">                                                         日期：</w:t>
      </w:r>
    </w:p>
    <w:p>
      <w:pPr>
        <w:autoSpaceDE w:val="0"/>
        <w:autoSpaceDN w:val="0"/>
        <w:adjustRightInd w:val="0"/>
        <w:spacing w:line="360" w:lineRule="auto"/>
        <w:jc w:val="right"/>
        <w:outlineLvl w:val="9"/>
        <w:rPr>
          <w:rFonts w:ascii="宋体" w:hAnsi="宋体" w:cs="仿宋"/>
          <w:kern w:val="0"/>
          <w:sz w:val="24"/>
        </w:rPr>
      </w:pPr>
    </w:p>
    <w:p>
      <w:pPr>
        <w:spacing w:line="360" w:lineRule="auto"/>
        <w:outlineLvl w:val="9"/>
        <w:rPr>
          <w:sz w:val="24"/>
        </w:rPr>
      </w:pPr>
      <w:r>
        <w:rPr>
          <w:rFonts w:hint="eastAsia" w:ascii="宋体" w:cs="宋体"/>
          <w:kern w:val="0"/>
          <w:sz w:val="24"/>
        </w:rPr>
        <w:t>从业人员、营业收入、资产总额填报上一年度数据，无上一年度数据的新成立企业可不填报。</w:t>
      </w:r>
    </w:p>
    <w:p>
      <w:pPr>
        <w:spacing w:line="480" w:lineRule="auto"/>
        <w:jc w:val="right"/>
        <w:outlineLvl w:val="9"/>
        <w:rPr>
          <w:b/>
          <w:bCs/>
          <w:kern w:val="0"/>
        </w:rPr>
      </w:pPr>
    </w:p>
    <w:p>
      <w:pPr>
        <w:adjustRightInd w:val="0"/>
        <w:snapToGrid w:val="0"/>
        <w:spacing w:line="440" w:lineRule="exact"/>
        <w:ind w:left="6114" w:hanging="6114" w:hangingChars="2900"/>
        <w:jc w:val="center"/>
        <w:outlineLvl w:val="9"/>
        <w:rPr>
          <w:b/>
          <w:bCs/>
          <w:kern w:val="0"/>
          <w:lang w:val="zh-CN"/>
        </w:rPr>
      </w:pPr>
    </w:p>
    <w:p>
      <w:pPr>
        <w:autoSpaceDE w:val="0"/>
        <w:autoSpaceDN w:val="0"/>
        <w:spacing w:line="360" w:lineRule="auto"/>
        <w:jc w:val="center"/>
        <w:outlineLvl w:val="9"/>
        <w:rPr>
          <w:b/>
          <w:bCs/>
          <w:kern w:val="0"/>
          <w:sz w:val="28"/>
          <w:szCs w:val="28"/>
        </w:rPr>
      </w:pPr>
      <w:r>
        <w:rPr>
          <w:sz w:val="30"/>
          <w:szCs w:val="30"/>
        </w:rPr>
        <w:br w:type="page"/>
      </w:r>
      <w:bookmarkStart w:id="115" w:name="_Toc30801"/>
      <w:bookmarkStart w:id="116" w:name="_Toc9477"/>
      <w:r>
        <w:rPr>
          <w:rFonts w:hint="eastAsia"/>
          <w:b/>
          <w:bCs/>
          <w:kern w:val="0"/>
          <w:sz w:val="28"/>
          <w:szCs w:val="28"/>
        </w:rPr>
        <w:t>监狱企业证明资料</w:t>
      </w:r>
      <w:bookmarkEnd w:id="115"/>
      <w:bookmarkEnd w:id="116"/>
    </w:p>
    <w:p>
      <w:pPr>
        <w:autoSpaceDE w:val="0"/>
        <w:autoSpaceDN w:val="0"/>
        <w:spacing w:line="360" w:lineRule="auto"/>
        <w:jc w:val="center"/>
        <w:outlineLvl w:val="9"/>
        <w:rPr>
          <w:rFonts w:ascii="楷体" w:hAnsi="楷体" w:eastAsia="楷体" w:cs="楷体"/>
          <w:sz w:val="32"/>
          <w:szCs w:val="32"/>
        </w:rPr>
      </w:pPr>
    </w:p>
    <w:p>
      <w:pPr>
        <w:adjustRightInd w:val="0"/>
        <w:snapToGrid w:val="0"/>
        <w:spacing w:line="560" w:lineRule="exact"/>
        <w:jc w:val="center"/>
        <w:outlineLvl w:val="9"/>
        <w:rPr>
          <w:rFonts w:ascii="仿宋_GB2312" w:hAnsi="仿宋_GB2312" w:eastAsia="仿宋_GB2312" w:cs="仿宋_GB2312"/>
          <w:sz w:val="32"/>
          <w:szCs w:val="32"/>
        </w:rPr>
      </w:pPr>
      <w:bookmarkStart w:id="117" w:name="_Toc25903_WPSOffice_Level3"/>
      <w:bookmarkStart w:id="118" w:name="_Toc28022_WPSOffice_Level3"/>
      <w:r>
        <w:rPr>
          <w:rFonts w:hint="eastAsia" w:ascii="仿宋_GB2312" w:hAnsi="仿宋_GB2312" w:eastAsia="仿宋_GB2312" w:cs="仿宋_GB2312"/>
          <w:b/>
          <w:spacing w:val="6"/>
          <w:sz w:val="32"/>
          <w:szCs w:val="32"/>
        </w:rPr>
        <w:t>(不属于监狱企业的无需提供)</w:t>
      </w:r>
      <w:bookmarkEnd w:id="117"/>
      <w:bookmarkEnd w:id="118"/>
    </w:p>
    <w:p>
      <w:pPr>
        <w:adjustRightInd w:val="0"/>
        <w:snapToGrid w:val="0"/>
        <w:spacing w:line="560" w:lineRule="exact"/>
        <w:ind w:firstLine="480" w:firstLineChars="200"/>
        <w:outlineLvl w:val="9"/>
        <w:rPr>
          <w:rFonts w:ascii="宋体" w:hAnsi="宋体" w:cs="仿宋"/>
          <w:kern w:val="0"/>
          <w:sz w:val="24"/>
        </w:rPr>
      </w:pPr>
      <w:r>
        <w:rPr>
          <w:rFonts w:hint="eastAsia" w:ascii="宋体" w:hAnsi="宋体" w:cs="仿宋"/>
          <w:kern w:val="0"/>
          <w:sz w:val="24"/>
        </w:rPr>
        <w:t>备注：按《财政部司法部关于政府采购支持监狱企业发展有关问题的通知》(财库〔2014〕68号)文件规定提供证明文件（复印件）。</w:t>
      </w:r>
    </w:p>
    <w:p>
      <w:pPr>
        <w:spacing w:before="120" w:beforeLines="50" w:line="560" w:lineRule="exact"/>
        <w:ind w:firstLine="480" w:firstLineChars="200"/>
        <w:jc w:val="right"/>
        <w:outlineLvl w:val="9"/>
        <w:rPr>
          <w:rFonts w:ascii="宋体" w:hAnsi="宋体" w:cs="仿宋"/>
          <w:kern w:val="0"/>
          <w:sz w:val="24"/>
        </w:rPr>
      </w:pPr>
      <w:r>
        <w:rPr>
          <w:rFonts w:hint="eastAsia" w:ascii="宋体" w:hAnsi="宋体" w:cs="仿宋"/>
          <w:kern w:val="0"/>
          <w:sz w:val="24"/>
        </w:rPr>
        <w:t xml:space="preserve">                 </w:t>
      </w:r>
      <w:bookmarkStart w:id="119" w:name="_Toc22071_WPSOffice_Level3"/>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p>
    <w:p>
      <w:pPr>
        <w:spacing w:before="120" w:beforeLines="50" w:line="560" w:lineRule="exact"/>
        <w:ind w:firstLine="480" w:firstLineChars="200"/>
        <w:jc w:val="right"/>
        <w:outlineLvl w:val="9"/>
        <w:rPr>
          <w:rFonts w:ascii="宋体" w:hAnsi="宋体" w:cs="仿宋"/>
          <w:kern w:val="0"/>
          <w:sz w:val="24"/>
        </w:rPr>
      </w:pPr>
      <w:r>
        <w:rPr>
          <w:rFonts w:hint="eastAsia" w:ascii="宋体" w:hAnsi="宋体" w:cs="仿宋"/>
          <w:kern w:val="0"/>
          <w:sz w:val="24"/>
        </w:rPr>
        <w:t>单位名称：       （公章）</w:t>
      </w:r>
      <w:bookmarkEnd w:id="119"/>
    </w:p>
    <w:p>
      <w:pPr>
        <w:spacing w:before="120" w:beforeLines="50" w:line="560" w:lineRule="exact"/>
        <w:ind w:firstLine="480" w:firstLineChars="200"/>
        <w:jc w:val="right"/>
        <w:outlineLvl w:val="9"/>
        <w:rPr>
          <w:rFonts w:ascii="宋体" w:hAnsi="宋体" w:cs="仿宋"/>
          <w:kern w:val="0"/>
          <w:sz w:val="24"/>
        </w:rPr>
      </w:pPr>
      <w:r>
        <w:rPr>
          <w:rFonts w:hint="eastAsia" w:ascii="宋体" w:hAnsi="宋体" w:cs="仿宋"/>
          <w:kern w:val="0"/>
          <w:sz w:val="24"/>
        </w:rPr>
        <w:t xml:space="preserve">        </w:t>
      </w:r>
      <w:bookmarkStart w:id="120" w:name="_Toc11539_WPSOffice_Level3"/>
      <w:r>
        <w:rPr>
          <w:rFonts w:hint="eastAsia" w:ascii="宋体" w:hAnsi="宋体" w:cs="仿宋"/>
          <w:kern w:val="0"/>
          <w:sz w:val="24"/>
        </w:rPr>
        <w:t>法定代表人或委托代理人：       （签字或盖章）</w:t>
      </w:r>
      <w:bookmarkEnd w:id="120"/>
    </w:p>
    <w:p>
      <w:pPr>
        <w:spacing w:before="120" w:beforeLines="50" w:line="560" w:lineRule="exact"/>
        <w:ind w:firstLine="640" w:firstLineChars="200"/>
        <w:jc w:val="center"/>
        <w:outlineLvl w:val="9"/>
        <w:rPr>
          <w:rFonts w:ascii="宋体" w:hAnsi="宋体" w:cs="仿宋"/>
          <w:kern w:val="0"/>
          <w:sz w:val="24"/>
        </w:rPr>
      </w:pPr>
      <w:r>
        <w:rPr>
          <w:rFonts w:hint="eastAsia" w:ascii="仿宋_GB2312" w:hAnsi="仿宋_GB2312" w:eastAsia="仿宋_GB2312" w:cs="仿宋_GB2312"/>
          <w:bCs/>
          <w:color w:val="000000"/>
          <w:sz w:val="32"/>
          <w:szCs w:val="32"/>
        </w:rPr>
        <w:t xml:space="preserve">                                    </w:t>
      </w:r>
      <w:bookmarkStart w:id="121" w:name="_Toc3285_WPSOffice_Level3"/>
      <w:r>
        <w:rPr>
          <w:rFonts w:hint="eastAsia" w:ascii="宋体" w:hAnsi="宋体" w:cs="仿宋"/>
          <w:kern w:val="0"/>
          <w:sz w:val="24"/>
        </w:rPr>
        <w:t>年   月  日</w:t>
      </w:r>
      <w:bookmarkEnd w:id="121"/>
    </w:p>
    <w:p>
      <w:pPr>
        <w:pStyle w:val="29"/>
        <w:jc w:val="both"/>
        <w:outlineLvl w:val="9"/>
        <w:rPr>
          <w:rFonts w:ascii="Times New Roman" w:hAnsi="Times New Roman"/>
          <w:sz w:val="30"/>
          <w:szCs w:val="30"/>
        </w:rPr>
      </w:pPr>
    </w:p>
    <w:p>
      <w:pPr>
        <w:outlineLvl w:val="9"/>
      </w:pPr>
    </w:p>
    <w:p>
      <w:pPr>
        <w:autoSpaceDE w:val="0"/>
        <w:autoSpaceDN w:val="0"/>
        <w:spacing w:line="360" w:lineRule="auto"/>
        <w:jc w:val="center"/>
        <w:outlineLvl w:val="9"/>
        <w:rPr>
          <w:b/>
          <w:bCs/>
          <w:kern w:val="0"/>
          <w:sz w:val="28"/>
          <w:szCs w:val="28"/>
        </w:rPr>
      </w:pPr>
      <w:r>
        <w:rPr>
          <w:b/>
          <w:bCs/>
          <w:kern w:val="0"/>
          <w:sz w:val="28"/>
          <w:szCs w:val="28"/>
          <w:lang w:val="zh-CN"/>
        </w:rPr>
        <w:br w:type="page"/>
      </w:r>
      <w:r>
        <w:rPr>
          <w:b/>
          <w:bCs/>
          <w:kern w:val="0"/>
          <w:sz w:val="28"/>
          <w:szCs w:val="28"/>
        </w:rPr>
        <w:t>残疾人福利性单位声明函</w:t>
      </w:r>
    </w:p>
    <w:p>
      <w:pPr>
        <w:spacing w:after="120" w:afterLines="50"/>
        <w:outlineLvl w:val="9"/>
        <w:rPr>
          <w:bCs/>
        </w:rPr>
      </w:pPr>
    </w:p>
    <w:p>
      <w:pPr>
        <w:adjustRightInd w:val="0"/>
        <w:snapToGrid w:val="0"/>
        <w:spacing w:line="440" w:lineRule="exact"/>
        <w:ind w:left="6987" w:hanging="6987" w:hangingChars="2900"/>
        <w:outlineLvl w:val="9"/>
        <w:rPr>
          <w:b/>
          <w:bCs/>
          <w:kern w:val="0"/>
          <w:sz w:val="24"/>
          <w:lang w:val="zh-CN"/>
        </w:rPr>
      </w:pPr>
      <w:r>
        <w:rPr>
          <w:b/>
          <w:bCs/>
          <w:kern w:val="0"/>
          <w:sz w:val="24"/>
          <w:lang w:val="zh-CN"/>
        </w:rPr>
        <w:t>致：</w:t>
      </w:r>
      <w:r>
        <w:rPr>
          <w:rFonts w:hint="eastAsia"/>
          <w:b/>
          <w:bCs/>
          <w:kern w:val="0"/>
          <w:sz w:val="24"/>
          <w:lang w:val="zh-CN"/>
        </w:rPr>
        <w:t>青海世瀚工程项目管理有限公司</w:t>
      </w:r>
    </w:p>
    <w:p>
      <w:pPr>
        <w:spacing w:line="360" w:lineRule="auto"/>
        <w:ind w:firstLine="480"/>
        <w:outlineLvl w:val="9"/>
      </w:pPr>
    </w:p>
    <w:p>
      <w:pPr>
        <w:adjustRightInd w:val="0"/>
        <w:snapToGrid w:val="0"/>
        <w:spacing w:line="440" w:lineRule="exact"/>
        <w:ind w:left="-4" w:leftChars="-2" w:firstLine="480" w:firstLineChars="200"/>
        <w:outlineLvl w:val="9"/>
        <w:rPr>
          <w:sz w:val="24"/>
        </w:rPr>
      </w:pPr>
      <w:r>
        <w:rPr>
          <w:sz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outlineLvl w:val="9"/>
        <w:rPr>
          <w:sz w:val="24"/>
        </w:rPr>
      </w:pPr>
      <w:r>
        <w:rPr>
          <w:sz w:val="24"/>
        </w:rPr>
        <w:t>本单位对上述声明的真实性负责。如有虚假，将依法承担相应责任。</w:t>
      </w:r>
    </w:p>
    <w:p>
      <w:pPr>
        <w:adjustRightInd w:val="0"/>
        <w:snapToGrid w:val="0"/>
        <w:spacing w:line="440" w:lineRule="exact"/>
        <w:ind w:left="-4" w:leftChars="-2" w:firstLine="480" w:firstLineChars="200"/>
        <w:outlineLvl w:val="9"/>
        <w:rPr>
          <w:sz w:val="24"/>
        </w:rPr>
      </w:pPr>
    </w:p>
    <w:p>
      <w:pPr>
        <w:adjustRightInd w:val="0"/>
        <w:snapToGrid w:val="0"/>
        <w:spacing w:line="440" w:lineRule="exact"/>
        <w:ind w:left="-4" w:leftChars="-2" w:firstLine="480" w:firstLineChars="200"/>
        <w:outlineLvl w:val="9"/>
        <w:rPr>
          <w:sz w:val="24"/>
        </w:rPr>
      </w:pPr>
      <w:r>
        <w:rPr>
          <w:sz w:val="24"/>
        </w:rPr>
        <w:t>注：若无此项内容，可不提供此函。</w:t>
      </w: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spacing w:line="360" w:lineRule="auto"/>
        <w:ind w:firstLine="480"/>
        <w:outlineLvl w:val="9"/>
      </w:pPr>
    </w:p>
    <w:p>
      <w:pPr>
        <w:autoSpaceDE w:val="0"/>
        <w:autoSpaceDN w:val="0"/>
        <w:spacing w:line="360" w:lineRule="auto"/>
        <w:jc w:val="right"/>
        <w:outlineLvl w:val="9"/>
        <w:rPr>
          <w:bCs/>
          <w:sz w:val="24"/>
          <w:szCs w:val="28"/>
        </w:rPr>
      </w:pPr>
      <w:r>
        <w:rPr>
          <w:b/>
        </w:rPr>
        <w:t xml:space="preserve">                                </w:t>
      </w:r>
      <w:r>
        <w:rPr>
          <w:bCs/>
          <w:sz w:val="24"/>
          <w:szCs w:val="28"/>
        </w:rPr>
        <w:t>企业名称：       （公章）</w:t>
      </w:r>
    </w:p>
    <w:p>
      <w:pPr>
        <w:autoSpaceDE w:val="0"/>
        <w:autoSpaceDN w:val="0"/>
        <w:spacing w:line="360" w:lineRule="auto"/>
        <w:jc w:val="right"/>
        <w:outlineLvl w:val="9"/>
        <w:rPr>
          <w:bCs/>
          <w:sz w:val="24"/>
          <w:szCs w:val="28"/>
        </w:rPr>
      </w:pPr>
      <w:r>
        <w:rPr>
          <w:bCs/>
          <w:sz w:val="24"/>
          <w:szCs w:val="28"/>
        </w:rPr>
        <w:t xml:space="preserve">       企业法定代表人：       （签字或盖章）</w:t>
      </w:r>
    </w:p>
    <w:p>
      <w:pPr>
        <w:autoSpaceDE w:val="0"/>
        <w:autoSpaceDN w:val="0"/>
        <w:spacing w:line="360" w:lineRule="auto"/>
        <w:jc w:val="right"/>
        <w:outlineLvl w:val="9"/>
        <w:rPr>
          <w:bCs/>
          <w:sz w:val="24"/>
          <w:szCs w:val="28"/>
        </w:rPr>
      </w:pPr>
      <w:r>
        <w:rPr>
          <w:bCs/>
          <w:sz w:val="24"/>
          <w:szCs w:val="28"/>
        </w:rPr>
        <w:t xml:space="preserve">                                                              年   月  日</w:t>
      </w:r>
    </w:p>
    <w:p>
      <w:pPr>
        <w:spacing w:line="360" w:lineRule="auto"/>
        <w:ind w:firstLine="480"/>
        <w:outlineLvl w:val="9"/>
        <w:rPr>
          <w:rFonts w:ascii="宋体" w:hAnsi="宋体" w:cs="宋体"/>
          <w:sz w:val="24"/>
        </w:rPr>
      </w:pPr>
    </w:p>
    <w:p>
      <w:pPr>
        <w:spacing w:line="360" w:lineRule="auto"/>
        <w:ind w:firstLine="480"/>
        <w:outlineLvl w:val="9"/>
        <w:rPr>
          <w:rFonts w:ascii="宋体" w:hAnsi="宋体" w:cs="宋体"/>
          <w:sz w:val="24"/>
        </w:rPr>
      </w:pPr>
    </w:p>
    <w:p>
      <w:pPr>
        <w:numPr>
          <w:ilvl w:val="0"/>
          <w:numId w:val="0"/>
        </w:numPr>
        <w:tabs>
          <w:tab w:val="left" w:pos="425"/>
          <w:tab w:val="left" w:pos="720"/>
          <w:tab w:val="left" w:pos="1985"/>
          <w:tab w:val="left" w:pos="7088"/>
        </w:tabs>
        <w:outlineLvl w:val="1"/>
        <w:rPr>
          <w:rFonts w:hAnsi="宋体" w:cs="宋体"/>
          <w:sz w:val="24"/>
          <w:szCs w:val="24"/>
        </w:rPr>
      </w:pPr>
      <w:r>
        <w:rPr>
          <w:rFonts w:hAnsi="宋体"/>
          <w:bCs/>
          <w:sz w:val="24"/>
          <w:szCs w:val="24"/>
        </w:rPr>
        <w:br w:type="page"/>
      </w:r>
      <w:bookmarkStart w:id="122" w:name="_Toc31287"/>
      <w:bookmarkStart w:id="123" w:name="_Toc21517"/>
      <w:r>
        <w:rPr>
          <w:rFonts w:hint="eastAsia" w:hAnsi="宋体"/>
          <w:b/>
          <w:sz w:val="24"/>
          <w:szCs w:val="24"/>
          <w:lang w:val="zh-CN"/>
        </w:rPr>
        <w:t>格式17、磋商供应商认为在其他方面有必要说明的事项</w:t>
      </w:r>
      <w:bookmarkEnd w:id="122"/>
      <w:bookmarkEnd w:id="123"/>
    </w:p>
    <w:p>
      <w:pPr>
        <w:autoSpaceDE w:val="0"/>
        <w:autoSpaceDN w:val="0"/>
        <w:adjustRightInd w:val="0"/>
        <w:spacing w:line="360" w:lineRule="auto"/>
        <w:outlineLvl w:val="9"/>
        <w:rPr>
          <w:rFonts w:ascii="宋体" w:hAnsi="宋体" w:cs="宋体"/>
          <w:kern w:val="0"/>
          <w:sz w:val="24"/>
          <w:lang w:val="zh-CN"/>
        </w:rPr>
      </w:pPr>
    </w:p>
    <w:p>
      <w:pPr>
        <w:pStyle w:val="17"/>
        <w:spacing w:line="360" w:lineRule="auto"/>
        <w:jc w:val="center"/>
        <w:outlineLvl w:val="9"/>
        <w:rPr>
          <w:rFonts w:hAnsi="宋体" w:cs="宋体"/>
          <w:b/>
          <w:bCs/>
          <w:sz w:val="24"/>
          <w:szCs w:val="24"/>
          <w:lang w:val="zh-CN"/>
        </w:rPr>
      </w:pPr>
      <w:r>
        <w:rPr>
          <w:rFonts w:hint="eastAsia" w:hAnsi="宋体" w:cs="宋体"/>
          <w:b/>
          <w:bCs/>
          <w:sz w:val="24"/>
          <w:szCs w:val="24"/>
          <w:lang w:val="zh-CN"/>
        </w:rPr>
        <w:t>磋商供应商认为在其他方面有必要说明的事项</w:t>
      </w:r>
    </w:p>
    <w:p>
      <w:pPr>
        <w:autoSpaceDE w:val="0"/>
        <w:autoSpaceDN w:val="0"/>
        <w:adjustRightInd w:val="0"/>
        <w:spacing w:line="360" w:lineRule="auto"/>
        <w:outlineLvl w:val="9"/>
        <w:rPr>
          <w:rFonts w:ascii="宋体" w:hAnsi="宋体" w:cs="宋体"/>
          <w:kern w:val="0"/>
          <w:sz w:val="24"/>
          <w:lang w:val="zh-CN"/>
        </w:rPr>
      </w:pPr>
    </w:p>
    <w:p>
      <w:pPr>
        <w:autoSpaceDE w:val="0"/>
        <w:autoSpaceDN w:val="0"/>
        <w:spacing w:line="360" w:lineRule="auto"/>
        <w:ind w:firstLine="480" w:firstLineChars="200"/>
        <w:outlineLvl w:val="9"/>
        <w:rPr>
          <w:rFonts w:ascii="宋体" w:hAnsi="宋体" w:cs="宋体"/>
          <w:kern w:val="0"/>
          <w:sz w:val="24"/>
          <w:lang w:val="zh-CN"/>
        </w:rPr>
      </w:pPr>
      <w:r>
        <w:rPr>
          <w:rFonts w:hint="eastAsia" w:ascii="宋体" w:hAnsi="宋体" w:cs="宋体"/>
          <w:kern w:val="0"/>
          <w:sz w:val="24"/>
          <w:lang w:val="zh-CN"/>
        </w:rPr>
        <w:t>供应商在参加本项目磋商中根据磋商文件的要求认为需要说明的事项。如没有说明事项，此项可忽略。（格式可自定）</w:t>
      </w:r>
    </w:p>
    <w:p>
      <w:pPr>
        <w:numPr>
          <w:ilvl w:val="0"/>
          <w:numId w:val="0"/>
        </w:numPr>
        <w:tabs>
          <w:tab w:val="left" w:pos="425"/>
          <w:tab w:val="left" w:pos="720"/>
          <w:tab w:val="left" w:pos="1985"/>
          <w:tab w:val="left" w:pos="7088"/>
        </w:tabs>
        <w:ind w:left="709" w:hanging="709"/>
        <w:outlineLvl w:val="1"/>
        <w:rPr>
          <w:rFonts w:hAnsi="宋体"/>
          <w:b/>
          <w:sz w:val="24"/>
          <w:szCs w:val="24"/>
          <w:lang w:val="zh-CN"/>
        </w:rPr>
      </w:pPr>
      <w:r>
        <w:rPr>
          <w:rFonts w:hAnsi="宋体"/>
          <w:bCs/>
          <w:sz w:val="24"/>
          <w:szCs w:val="24"/>
        </w:rPr>
        <w:br w:type="page"/>
      </w:r>
      <w:bookmarkStart w:id="124" w:name="_Toc12703"/>
      <w:r>
        <w:rPr>
          <w:rFonts w:hAnsi="宋体"/>
          <w:b/>
          <w:sz w:val="24"/>
          <w:szCs w:val="24"/>
          <w:lang w:val="zh-CN"/>
        </w:rPr>
        <w:t>格式</w:t>
      </w:r>
      <w:r>
        <w:rPr>
          <w:rFonts w:hint="eastAsia" w:hAnsi="宋体"/>
          <w:b/>
          <w:sz w:val="24"/>
          <w:szCs w:val="24"/>
          <w:lang w:val="zh-CN"/>
        </w:rPr>
        <w:t>18、磋商最终报价表</w:t>
      </w:r>
      <w:r>
        <w:rPr>
          <w:rFonts w:hint="eastAsia" w:hAnsi="宋体"/>
          <w:b/>
          <w:sz w:val="24"/>
          <w:szCs w:val="24"/>
        </w:rPr>
        <w:t>（单独提交）</w:t>
      </w:r>
      <w:bookmarkEnd w:id="124"/>
    </w:p>
    <w:p>
      <w:pPr>
        <w:spacing w:line="360" w:lineRule="auto"/>
        <w:jc w:val="center"/>
        <w:outlineLvl w:val="9"/>
        <w:rPr>
          <w:rFonts w:ascii="宋体" w:hAnsi="宋体"/>
          <w:b/>
          <w:sz w:val="24"/>
        </w:rPr>
      </w:pPr>
      <w:r>
        <w:rPr>
          <w:rFonts w:hint="eastAsia" w:ascii="宋体" w:hAnsi="宋体"/>
          <w:b/>
          <w:sz w:val="24"/>
        </w:rPr>
        <w:t>磋商最终报价表</w:t>
      </w:r>
    </w:p>
    <w:p>
      <w:pPr>
        <w:spacing w:line="360" w:lineRule="auto"/>
        <w:outlineLvl w:val="9"/>
        <w:rPr>
          <w:rFonts w:hint="eastAsia" w:ascii="宋体" w:hAnsi="宋体"/>
          <w:b/>
          <w:sz w:val="24"/>
        </w:rPr>
      </w:pPr>
      <w:r>
        <w:rPr>
          <w:rFonts w:hint="eastAsia" w:ascii="宋体" w:hAnsi="宋体"/>
          <w:b/>
          <w:sz w:val="24"/>
        </w:rPr>
        <w:t xml:space="preserve">供应商名称： </w:t>
      </w:r>
    </w:p>
    <w:p>
      <w:pPr>
        <w:autoSpaceDE w:val="0"/>
        <w:autoSpaceDN w:val="0"/>
        <w:adjustRightInd w:val="0"/>
        <w:spacing w:line="360" w:lineRule="auto"/>
        <w:jc w:val="right"/>
        <w:outlineLvl w:val="9"/>
      </w:pPr>
      <w:r>
        <w:rPr>
          <w:rFonts w:hint="eastAsia" w:ascii="宋体" w:hAnsi="宋体"/>
          <w:b/>
          <w:sz w:val="24"/>
        </w:rPr>
        <w:t xml:space="preserve">   单位：元</w:t>
      </w:r>
    </w:p>
    <w:tbl>
      <w:tblPr>
        <w:tblStyle w:val="33"/>
        <w:tblpPr w:leftFromText="180" w:rightFromText="180" w:vertAnchor="text" w:horzAnchor="page" w:tblpX="1064" w:tblpY="425"/>
        <w:tblOverlap w:val="never"/>
        <w:tblW w:w="9968" w:type="dxa"/>
        <w:tblInd w:w="0" w:type="dxa"/>
        <w:shd w:val="clear" w:color="auto" w:fill="auto"/>
        <w:tblLayout w:type="fixed"/>
        <w:tblCellMar>
          <w:top w:w="0" w:type="dxa"/>
          <w:left w:w="108" w:type="dxa"/>
          <w:bottom w:w="0" w:type="dxa"/>
          <w:right w:w="108" w:type="dxa"/>
        </w:tblCellMar>
      </w:tblPr>
      <w:tblGrid>
        <w:gridCol w:w="3458"/>
        <w:gridCol w:w="2951"/>
        <w:gridCol w:w="2313"/>
        <w:gridCol w:w="1246"/>
      </w:tblGrid>
      <w:tr>
        <w:tblPrEx>
          <w:shd w:val="clear" w:color="auto" w:fill="auto"/>
          <w:tblCellMar>
            <w:top w:w="0" w:type="dxa"/>
            <w:left w:w="108" w:type="dxa"/>
            <w:bottom w:w="0" w:type="dxa"/>
            <w:right w:w="108" w:type="dxa"/>
          </w:tblCellMar>
        </w:tblPrEx>
        <w:trPr>
          <w:trHeight w:val="699" w:hRule="atLeast"/>
        </w:trPr>
        <w:tc>
          <w:tcPr>
            <w:tcW w:w="3458"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r>
              <w:rPr>
                <w:rFonts w:ascii="宋体" w:hAnsi="宋体" w:cs="Arial"/>
                <w:bCs/>
                <w:sz w:val="24"/>
                <w:lang w:val="zh-CN"/>
              </w:rPr>
              <w:t>项目名称</w:t>
            </w:r>
          </w:p>
        </w:tc>
        <w:tc>
          <w:tcPr>
            <w:tcW w:w="295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482"/>
              <w:jc w:val="center"/>
              <w:outlineLvl w:val="9"/>
              <w:rPr>
                <w:rFonts w:ascii="宋体" w:hAnsi="宋体" w:cs="Arial"/>
                <w:sz w:val="24"/>
                <w:lang w:val="zh-CN"/>
              </w:rPr>
            </w:pPr>
            <w:r>
              <w:rPr>
                <w:rFonts w:hint="eastAsia" w:ascii="宋体" w:hAnsi="宋体" w:cs="Arial"/>
                <w:bCs/>
                <w:sz w:val="24"/>
                <w:lang w:val="zh-CN"/>
              </w:rPr>
              <w:t>最终</w:t>
            </w:r>
            <w:r>
              <w:rPr>
                <w:rFonts w:ascii="宋体" w:hAnsi="宋体" w:cs="Arial"/>
                <w:bCs/>
                <w:sz w:val="24"/>
                <w:lang w:val="zh-CN"/>
              </w:rPr>
              <w:t>报价</w:t>
            </w:r>
          </w:p>
        </w:tc>
        <w:tc>
          <w:tcPr>
            <w:tcW w:w="2313" w:type="dxa"/>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jc w:val="center"/>
              <w:outlineLvl w:val="9"/>
              <w:rPr>
                <w:rFonts w:ascii="宋体" w:hAnsi="宋体" w:cs="Arial"/>
                <w:bCs/>
                <w:sz w:val="24"/>
                <w:lang w:val="zh-CN"/>
              </w:rPr>
            </w:pPr>
            <w:r>
              <w:rPr>
                <w:rFonts w:ascii="宋体" w:hAnsi="宋体" w:cs="Arial"/>
                <w:bCs/>
                <w:sz w:val="24"/>
                <w:lang w:val="zh-CN"/>
              </w:rPr>
              <w:t>交货期</w:t>
            </w:r>
          </w:p>
        </w:tc>
        <w:tc>
          <w:tcPr>
            <w:tcW w:w="124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r>
              <w:rPr>
                <w:rFonts w:ascii="宋体" w:hAnsi="宋体" w:cs="Arial"/>
                <w:bCs/>
                <w:sz w:val="24"/>
                <w:lang w:val="zh-CN"/>
              </w:rPr>
              <w:t>备注</w:t>
            </w:r>
          </w:p>
        </w:tc>
      </w:tr>
      <w:tr>
        <w:tblPrEx>
          <w:shd w:val="clear" w:color="auto" w:fill="auto"/>
          <w:tblCellMar>
            <w:top w:w="0" w:type="dxa"/>
            <w:left w:w="108" w:type="dxa"/>
            <w:bottom w:w="0" w:type="dxa"/>
            <w:right w:w="108" w:type="dxa"/>
          </w:tblCellMar>
        </w:tblPrEx>
        <w:trPr>
          <w:trHeight w:val="749" w:hRule="atLeast"/>
        </w:trPr>
        <w:tc>
          <w:tcPr>
            <w:tcW w:w="3458" w:type="dxa"/>
            <w:vMerge w:val="restart"/>
            <w:tcBorders>
              <w:top w:val="single" w:color="000000" w:sz="6" w:space="0"/>
              <w:left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295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outlineLvl w:val="9"/>
              <w:rPr>
                <w:rFonts w:ascii="宋体" w:hAnsi="宋体" w:cs="Arial"/>
                <w:sz w:val="24"/>
                <w:lang w:val="zh-CN"/>
              </w:rPr>
            </w:pPr>
            <w:r>
              <w:rPr>
                <w:rFonts w:ascii="宋体" w:hAnsi="宋体" w:cs="Arial"/>
                <w:bCs/>
                <w:sz w:val="24"/>
                <w:lang w:val="zh-CN"/>
              </w:rPr>
              <w:t>大写：</w:t>
            </w:r>
          </w:p>
        </w:tc>
        <w:tc>
          <w:tcPr>
            <w:tcW w:w="2313" w:type="dxa"/>
            <w:vMerge w:val="restart"/>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ind w:firstLine="197"/>
              <w:jc w:val="center"/>
              <w:outlineLvl w:val="9"/>
              <w:rPr>
                <w:rFonts w:ascii="宋体" w:hAnsi="宋体" w:cs="Arial"/>
                <w:sz w:val="24"/>
                <w:lang w:val="zh-CN"/>
              </w:rPr>
            </w:pPr>
          </w:p>
        </w:tc>
        <w:tc>
          <w:tcPr>
            <w:tcW w:w="124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r>
      <w:tr>
        <w:tblPrEx>
          <w:shd w:val="clear" w:color="auto" w:fill="auto"/>
          <w:tblCellMar>
            <w:top w:w="0" w:type="dxa"/>
            <w:left w:w="108" w:type="dxa"/>
            <w:bottom w:w="0" w:type="dxa"/>
            <w:right w:w="108" w:type="dxa"/>
          </w:tblCellMar>
        </w:tblPrEx>
        <w:trPr>
          <w:trHeight w:val="1026" w:hRule="atLeast"/>
        </w:trPr>
        <w:tc>
          <w:tcPr>
            <w:tcW w:w="3458" w:type="dxa"/>
            <w:vMerge w:val="continue"/>
            <w:tcBorders>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295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outlineLvl w:val="9"/>
              <w:rPr>
                <w:rFonts w:ascii="宋体" w:hAnsi="宋体" w:cs="Arial"/>
                <w:sz w:val="24"/>
                <w:lang w:val="zh-CN"/>
              </w:rPr>
            </w:pPr>
            <w:r>
              <w:rPr>
                <w:rFonts w:ascii="宋体" w:hAnsi="宋体" w:cs="Arial"/>
                <w:bCs/>
                <w:sz w:val="24"/>
                <w:lang w:val="zh-CN"/>
              </w:rPr>
              <w:t>小写：</w:t>
            </w:r>
          </w:p>
        </w:tc>
        <w:tc>
          <w:tcPr>
            <w:tcW w:w="2313" w:type="dxa"/>
            <w:vMerge w:val="continue"/>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c>
          <w:tcPr>
            <w:tcW w:w="124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jc w:val="center"/>
              <w:outlineLvl w:val="9"/>
              <w:rPr>
                <w:rFonts w:ascii="宋体" w:hAnsi="宋体" w:cs="Arial"/>
                <w:sz w:val="24"/>
                <w:lang w:val="zh-CN"/>
              </w:rPr>
            </w:pPr>
          </w:p>
        </w:tc>
      </w:tr>
    </w:tbl>
    <w:p>
      <w:pPr>
        <w:autoSpaceDE w:val="0"/>
        <w:autoSpaceDN w:val="0"/>
        <w:adjustRightInd w:val="0"/>
        <w:spacing w:line="360" w:lineRule="auto"/>
        <w:jc w:val="right"/>
        <w:outlineLvl w:val="9"/>
        <w:rPr>
          <w:rFonts w:ascii="宋体" w:hAnsi="宋体" w:cs="宋体"/>
          <w:b/>
          <w:bCs/>
          <w:kern w:val="0"/>
          <w:sz w:val="24"/>
          <w:lang w:val="zh-CN"/>
        </w:rPr>
      </w:pPr>
      <w:r>
        <w:rPr>
          <w:rFonts w:hint="eastAsia" w:ascii="宋体" w:hAnsi="宋体" w:cs="宋体"/>
          <w:b/>
          <w:bCs/>
          <w:kern w:val="0"/>
          <w:sz w:val="24"/>
          <w:lang w:val="zh-CN"/>
        </w:rPr>
        <w:t xml:space="preserve">         </w:t>
      </w:r>
      <w:r>
        <w:rPr>
          <w:rFonts w:hint="eastAsia" w:ascii="宋体" w:hAnsi="宋体"/>
          <w:b/>
          <w:sz w:val="24"/>
        </w:rPr>
        <w:t xml:space="preserve">                                             </w:t>
      </w:r>
    </w:p>
    <w:p>
      <w:pPr>
        <w:spacing w:line="360" w:lineRule="auto"/>
        <w:outlineLvl w:val="9"/>
        <w:rPr>
          <w:rFonts w:ascii="宋体" w:hAnsi="宋体"/>
          <w:b/>
          <w:sz w:val="24"/>
        </w:rPr>
      </w:pPr>
    </w:p>
    <w:p>
      <w:pPr>
        <w:spacing w:line="360" w:lineRule="auto"/>
        <w:outlineLvl w:val="9"/>
        <w:rPr>
          <w:rFonts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此表不需填写在磋商响应文件中。在磋商期间，由磋商小组确定合格的供应商线上提交，</w:t>
      </w:r>
      <w:r>
        <w:rPr>
          <w:rFonts w:ascii="宋体" w:hAnsi="宋体"/>
          <w:b/>
          <w:sz w:val="24"/>
        </w:rPr>
        <w:t>供应商须在固定电脑设备前登陆等待磋商最终报价，供应商</w:t>
      </w:r>
      <w:r>
        <w:rPr>
          <w:rFonts w:hint="eastAsia" w:ascii="宋体" w:hAnsi="宋体"/>
          <w:b/>
          <w:sz w:val="24"/>
        </w:rPr>
        <w:t>须在规定的时间内完成，如超时，则视为无效投标。</w:t>
      </w:r>
    </w:p>
    <w:p>
      <w:pPr>
        <w:tabs>
          <w:tab w:val="left" w:pos="168"/>
        </w:tabs>
        <w:adjustRightInd w:val="0"/>
        <w:spacing w:line="360" w:lineRule="auto"/>
        <w:textAlignment w:val="baseline"/>
        <w:outlineLvl w:val="9"/>
        <w:rPr>
          <w:rFonts w:ascii="宋体" w:hAnsi="宋体"/>
          <w:b/>
          <w:bCs/>
          <w:sz w:val="24"/>
        </w:rPr>
      </w:pPr>
    </w:p>
    <w:p>
      <w:pPr>
        <w:tabs>
          <w:tab w:val="left" w:pos="168"/>
        </w:tabs>
        <w:adjustRightInd w:val="0"/>
        <w:spacing w:line="360" w:lineRule="auto"/>
        <w:textAlignment w:val="baseline"/>
        <w:outlineLvl w:val="9"/>
        <w:rPr>
          <w:rFonts w:ascii="宋体" w:hAnsi="宋体"/>
          <w:b/>
          <w:bCs/>
          <w:sz w:val="24"/>
        </w:rPr>
      </w:pPr>
    </w:p>
    <w:p>
      <w:pPr>
        <w:tabs>
          <w:tab w:val="left" w:pos="168"/>
        </w:tabs>
        <w:adjustRightInd w:val="0"/>
        <w:spacing w:line="360" w:lineRule="auto"/>
        <w:textAlignment w:val="baseline"/>
        <w:outlineLvl w:val="9"/>
        <w:rPr>
          <w:rFonts w:ascii="宋体" w:hAnsi="宋体"/>
          <w:b/>
          <w:bCs/>
          <w:sz w:val="24"/>
        </w:rPr>
      </w:pPr>
    </w:p>
    <w:p>
      <w:pPr>
        <w:tabs>
          <w:tab w:val="left" w:pos="168"/>
        </w:tabs>
        <w:adjustRightInd w:val="0"/>
        <w:spacing w:line="360" w:lineRule="auto"/>
        <w:textAlignment w:val="baseline"/>
        <w:outlineLvl w:val="9"/>
        <w:rPr>
          <w:rFonts w:ascii="宋体" w:hAnsi="宋体"/>
          <w:b/>
          <w:bCs/>
          <w:sz w:val="24"/>
        </w:rPr>
      </w:pPr>
    </w:p>
    <w:p>
      <w:pPr>
        <w:tabs>
          <w:tab w:val="left" w:pos="168"/>
        </w:tabs>
        <w:adjustRightInd w:val="0"/>
        <w:spacing w:line="360" w:lineRule="auto"/>
        <w:textAlignment w:val="baseline"/>
        <w:outlineLvl w:val="9"/>
        <w:rPr>
          <w:rFonts w:ascii="宋体" w:hAnsi="宋体"/>
          <w:bCs/>
          <w:sz w:val="24"/>
        </w:rPr>
      </w:pP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供应商：             （公章）</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outlineLvl w:val="9"/>
        <w:rPr>
          <w:rFonts w:ascii="宋体" w:hAnsi="宋体"/>
          <w:bCs/>
          <w:sz w:val="24"/>
        </w:rPr>
      </w:pPr>
      <w:r>
        <w:rPr>
          <w:rFonts w:hint="eastAsia" w:ascii="宋体" w:hAnsi="宋体"/>
          <w:bCs/>
          <w:sz w:val="24"/>
        </w:rPr>
        <w:t>日期：    年   月   日</w:t>
      </w:r>
    </w:p>
    <w:p>
      <w:pPr>
        <w:spacing w:line="360" w:lineRule="auto"/>
        <w:jc w:val="center"/>
        <w:outlineLvl w:val="9"/>
        <w:rPr>
          <w:rFonts w:ascii="宋体" w:hAnsi="宋体"/>
          <w:bCs/>
          <w:sz w:val="24"/>
        </w:rPr>
      </w:pPr>
    </w:p>
    <w:p>
      <w:pPr>
        <w:pStyle w:val="23"/>
        <w:spacing w:before="0" w:after="0" w:line="360" w:lineRule="auto"/>
        <w:outlineLvl w:val="0"/>
        <w:rPr>
          <w:rFonts w:ascii="宋体" w:hAnsi="宋体"/>
          <w:sz w:val="48"/>
          <w:szCs w:val="48"/>
        </w:rPr>
      </w:pPr>
      <w:r>
        <w:rPr>
          <w:rFonts w:ascii="宋体" w:hAnsi="宋体"/>
          <w:b w:val="0"/>
          <w:sz w:val="24"/>
          <w:szCs w:val="24"/>
        </w:rPr>
        <w:br w:type="page"/>
      </w:r>
      <w:bookmarkStart w:id="125" w:name="_Toc29404"/>
      <w:bookmarkStart w:id="126" w:name="_Toc444715745"/>
      <w:bookmarkStart w:id="127" w:name="_Toc9595"/>
      <w:bookmarkStart w:id="128" w:name="_Toc9748"/>
      <w:r>
        <w:rPr>
          <w:rFonts w:hint="eastAsia" w:ascii="宋体" w:hAnsi="宋体"/>
          <w:sz w:val="48"/>
          <w:szCs w:val="48"/>
        </w:rPr>
        <w:t>第六部分  采购项目要求及技术参数</w:t>
      </w:r>
      <w:bookmarkEnd w:id="125"/>
      <w:bookmarkEnd w:id="126"/>
      <w:bookmarkEnd w:id="127"/>
      <w:bookmarkEnd w:id="128"/>
    </w:p>
    <w:p>
      <w:pPr>
        <w:keepNext/>
        <w:keepLines/>
        <w:numPr>
          <w:ilvl w:val="0"/>
          <w:numId w:val="0"/>
        </w:numPr>
        <w:tabs>
          <w:tab w:val="left" w:pos="720"/>
          <w:tab w:val="left" w:pos="1985"/>
          <w:tab w:val="left" w:pos="7088"/>
        </w:tabs>
        <w:snapToGrid/>
        <w:spacing w:line="360" w:lineRule="auto"/>
        <w:ind w:left="567" w:hanging="567"/>
        <w:outlineLvl w:val="1"/>
        <w:rPr>
          <w:rFonts w:hAnsi="宋体"/>
          <w:b/>
          <w:bCs/>
          <w:kern w:val="0"/>
          <w:sz w:val="24"/>
          <w:szCs w:val="24"/>
        </w:rPr>
      </w:pPr>
      <w:bookmarkStart w:id="129" w:name="_Toc428180595"/>
      <w:bookmarkStart w:id="130" w:name="_Toc31710"/>
      <w:r>
        <w:rPr>
          <w:rFonts w:hint="eastAsia" w:hAnsi="宋体"/>
          <w:b/>
          <w:bCs/>
          <w:kern w:val="0"/>
          <w:sz w:val="24"/>
          <w:szCs w:val="24"/>
        </w:rPr>
        <w:t>一、磋商要求</w:t>
      </w:r>
      <w:bookmarkEnd w:id="129"/>
      <w:bookmarkEnd w:id="130"/>
    </w:p>
    <w:p>
      <w:pPr>
        <w:adjustRightInd w:val="0"/>
        <w:snapToGrid w:val="0"/>
        <w:spacing w:line="360" w:lineRule="auto"/>
        <w:ind w:left="425" w:hanging="425"/>
        <w:outlineLvl w:val="9"/>
        <w:rPr>
          <w:rFonts w:ascii="宋体" w:hAnsi="宋体"/>
          <w:kern w:val="0"/>
          <w:sz w:val="24"/>
        </w:rPr>
      </w:pPr>
      <w:bookmarkStart w:id="131" w:name="_Toc428180596"/>
      <w:r>
        <w:rPr>
          <w:rFonts w:ascii="宋体" w:hAnsi="宋体"/>
          <w:kern w:val="0"/>
          <w:sz w:val="24"/>
        </w:rPr>
        <w:t>1.</w:t>
      </w:r>
      <w:r>
        <w:rPr>
          <w:rFonts w:hint="eastAsia" w:ascii="宋体" w:hAnsi="宋体"/>
          <w:kern w:val="0"/>
          <w:sz w:val="24"/>
        </w:rPr>
        <w:t>磋商说明</w:t>
      </w:r>
      <w:bookmarkEnd w:id="131"/>
    </w:p>
    <w:p>
      <w:pPr>
        <w:autoSpaceDE w:val="0"/>
        <w:autoSpaceDN w:val="0"/>
        <w:adjustRightInd w:val="0"/>
        <w:spacing w:line="360" w:lineRule="auto"/>
        <w:ind w:firstLine="480" w:firstLineChars="200"/>
        <w:outlineLvl w:val="9"/>
        <w:rPr>
          <w:rFonts w:ascii="宋体" w:hAnsi="宋体" w:cs="宋体"/>
          <w:kern w:val="0"/>
          <w:sz w:val="24"/>
          <w:lang w:val="zh-CN"/>
        </w:rPr>
      </w:pPr>
      <w:r>
        <w:rPr>
          <w:rFonts w:ascii="宋体" w:hAnsi="宋体" w:cs="宋体"/>
          <w:kern w:val="0"/>
          <w:sz w:val="24"/>
          <w:lang w:val="zh-CN"/>
        </w:rPr>
        <w:t>1.1</w:t>
      </w:r>
      <w:r>
        <w:rPr>
          <w:rFonts w:hint="eastAsia" w:ascii="宋体" w:hAnsi="宋体" w:cs="宋体"/>
          <w:kern w:val="0"/>
          <w:sz w:val="24"/>
          <w:lang w:val="zh-CN"/>
        </w:rPr>
        <w:t>供应商可以按照磋商文件的规定磋商，但必须对所投包号中的所有内容作为一个整体进行磋商，不能拆分或少报。否则，磋商无效。</w:t>
      </w:r>
    </w:p>
    <w:p>
      <w:pPr>
        <w:autoSpaceDE w:val="0"/>
        <w:autoSpaceDN w:val="0"/>
        <w:adjustRightInd w:val="0"/>
        <w:spacing w:line="360" w:lineRule="auto"/>
        <w:ind w:firstLine="480" w:firstLineChars="200"/>
        <w:outlineLvl w:val="9"/>
        <w:rPr>
          <w:rFonts w:hint="eastAsia"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lang w:val="zh-CN"/>
          <w14:textFill>
            <w14:solidFill>
              <w14:schemeClr w14:val="tx1"/>
            </w14:solidFill>
          </w14:textFill>
        </w:rPr>
        <w:t>交货时间：2024年3月—2024年10月</w:t>
      </w:r>
    </w:p>
    <w:p>
      <w:pPr>
        <w:autoSpaceDE w:val="0"/>
        <w:autoSpaceDN w:val="0"/>
        <w:adjustRightInd w:val="0"/>
        <w:spacing w:line="360" w:lineRule="auto"/>
        <w:ind w:firstLine="480" w:firstLineChars="200"/>
        <w:outlineLvl w:val="9"/>
        <w:rPr>
          <w:rFonts w:hint="eastAsia"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1.3交货</w:t>
      </w:r>
      <w:r>
        <w:rPr>
          <w:rFonts w:hint="eastAsia" w:ascii="宋体" w:hAnsi="宋体" w:cs="宋体"/>
          <w:color w:val="000000" w:themeColor="text1"/>
          <w:kern w:val="0"/>
          <w:sz w:val="24"/>
          <w:lang w:val="zh-CN"/>
          <w14:textFill>
            <w14:solidFill>
              <w14:schemeClr w14:val="tx1"/>
            </w14:solidFill>
          </w14:textFill>
        </w:rPr>
        <w:t>地点：按采购单位指定地点交货并安装交付使用。</w:t>
      </w:r>
    </w:p>
    <w:p>
      <w:pPr>
        <w:autoSpaceDE w:val="0"/>
        <w:autoSpaceDN w:val="0"/>
        <w:adjustRightInd w:val="0"/>
        <w:spacing w:line="360" w:lineRule="auto"/>
        <w:ind w:firstLine="480" w:firstLineChars="200"/>
        <w:outlineLvl w:val="9"/>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1.4管护时间：1年</w:t>
      </w:r>
    </w:p>
    <w:p>
      <w:pPr>
        <w:adjustRightInd w:val="0"/>
        <w:snapToGrid w:val="0"/>
        <w:spacing w:line="360" w:lineRule="auto"/>
        <w:ind w:left="425" w:hanging="425"/>
        <w:outlineLvl w:val="1"/>
        <w:rPr>
          <w:rFonts w:ascii="宋体" w:hAnsi="宋体"/>
          <w:b/>
          <w:bCs/>
          <w:color w:val="000000" w:themeColor="text1"/>
          <w:kern w:val="0"/>
          <w:sz w:val="24"/>
          <w14:textFill>
            <w14:solidFill>
              <w14:schemeClr w14:val="tx1"/>
            </w14:solidFill>
          </w14:textFill>
        </w:rPr>
      </w:pPr>
      <w:bookmarkStart w:id="132" w:name="_Toc7097"/>
      <w:bookmarkStart w:id="133" w:name="_Toc428180597"/>
      <w:bookmarkStart w:id="134" w:name="_Toc480468113"/>
      <w:bookmarkStart w:id="135" w:name="_Hlk486599483"/>
      <w:bookmarkStart w:id="136" w:name="_Toc459377899"/>
      <w:r>
        <w:rPr>
          <w:rFonts w:hint="eastAsia" w:ascii="宋体" w:hAnsi="宋体"/>
          <w:b/>
          <w:bCs/>
          <w:color w:val="000000" w:themeColor="text1"/>
          <w:kern w:val="0"/>
          <w:sz w:val="24"/>
          <w:lang w:eastAsia="zh-CN"/>
          <w14:textFill>
            <w14:solidFill>
              <w14:schemeClr w14:val="tx1"/>
            </w14:solidFill>
          </w14:textFill>
        </w:rPr>
        <w:t>二、</w:t>
      </w:r>
      <w:r>
        <w:rPr>
          <w:rFonts w:hint="eastAsia" w:ascii="宋体" w:hAnsi="宋体"/>
          <w:b/>
          <w:bCs/>
          <w:color w:val="000000" w:themeColor="text1"/>
          <w:kern w:val="0"/>
          <w:sz w:val="24"/>
          <w14:textFill>
            <w14:solidFill>
              <w14:schemeClr w14:val="tx1"/>
            </w14:solidFill>
          </w14:textFill>
        </w:rPr>
        <w:t>报价说明</w:t>
      </w:r>
      <w:bookmarkEnd w:id="132"/>
      <w:bookmarkEnd w:id="133"/>
    </w:p>
    <w:p>
      <w:pPr>
        <w:autoSpaceDE w:val="0"/>
        <w:autoSpaceDN w:val="0"/>
        <w:adjustRightInd w:val="0"/>
        <w:spacing w:line="360" w:lineRule="auto"/>
        <w:ind w:firstLine="480"/>
        <w:outlineLvl w:val="9"/>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本次磋商文件中规定的</w:t>
      </w:r>
      <w:r>
        <w:rPr>
          <w:rFonts w:hint="eastAsia" w:ascii="宋体" w:hAnsi="宋体" w:cs="宋体"/>
          <w:color w:val="000000" w:themeColor="text1"/>
          <w:kern w:val="0"/>
          <w:sz w:val="24"/>
          <w:lang w:val="en-US" w:eastAsia="zh-CN"/>
          <w14:textFill>
            <w14:solidFill>
              <w14:schemeClr w14:val="tx1"/>
            </w14:solidFill>
          </w14:textFill>
        </w:rPr>
        <w:t>最高限价</w:t>
      </w:r>
      <w:r>
        <w:rPr>
          <w:rFonts w:hint="eastAsia" w:ascii="宋体" w:hAnsi="宋体" w:cs="宋体"/>
          <w:color w:val="000000" w:themeColor="text1"/>
          <w:kern w:val="0"/>
          <w:sz w:val="24"/>
          <w:lang w:val="zh-CN"/>
          <w14:textFill>
            <w14:solidFill>
              <w14:schemeClr w14:val="tx1"/>
            </w14:solidFill>
          </w14:textFill>
        </w:rPr>
        <w:t>为磋商最高限价，供应商</w:t>
      </w:r>
      <w:r>
        <w:rPr>
          <w:rFonts w:hint="eastAsia" w:ascii="宋体" w:hAnsi="宋体" w:cs="宋体"/>
          <w:kern w:val="0"/>
          <w:sz w:val="24"/>
          <w:lang w:val="zh-CN"/>
        </w:rPr>
        <w:t>的磋商报价不得超出此额度。否则，</w:t>
      </w:r>
      <w:r>
        <w:rPr>
          <w:rFonts w:hint="eastAsia" w:ascii="宋体" w:hAnsi="宋体" w:cs="宋体"/>
          <w:color w:val="000000" w:themeColor="text1"/>
          <w:kern w:val="0"/>
          <w:sz w:val="24"/>
          <w:lang w:val="zh-CN"/>
          <w14:textFill>
            <w14:solidFill>
              <w14:schemeClr w14:val="tx1"/>
            </w14:solidFill>
          </w14:textFill>
        </w:rPr>
        <w:t>磋商无效。</w:t>
      </w:r>
    </w:p>
    <w:bookmarkEnd w:id="134"/>
    <w:bookmarkEnd w:id="135"/>
    <w:bookmarkEnd w:id="136"/>
    <w:p>
      <w:pPr>
        <w:outlineLvl w:val="9"/>
        <w:rPr>
          <w:rFonts w:hint="eastAsia" w:ascii="宋体" w:hAnsi="宋体"/>
          <w:b/>
          <w:bCs/>
          <w:color w:val="000000" w:themeColor="text1"/>
          <w:kern w:val="0"/>
          <w:sz w:val="24"/>
          <w:lang w:val="en-US" w:eastAsia="zh-CN"/>
          <w14:textFill>
            <w14:solidFill>
              <w14:schemeClr w14:val="tx1"/>
            </w14:solidFill>
          </w14:textFill>
        </w:rPr>
      </w:pPr>
      <w:r>
        <w:rPr>
          <w:rFonts w:hint="eastAsia" w:ascii="宋体" w:hAnsi="宋体"/>
          <w:b/>
          <w:bCs/>
          <w:color w:val="000000" w:themeColor="text1"/>
          <w:kern w:val="0"/>
          <w:sz w:val="24"/>
          <w:lang w:val="en-US" w:eastAsia="zh-CN"/>
          <w14:textFill>
            <w14:solidFill>
              <w14:schemeClr w14:val="tx1"/>
            </w14:solidFill>
          </w14:textFill>
        </w:rPr>
        <w:br w:type="page"/>
      </w:r>
    </w:p>
    <w:p>
      <w:pPr>
        <w:numPr>
          <w:ilvl w:val="0"/>
          <w:numId w:val="0"/>
        </w:numPr>
        <w:adjustRightInd w:val="0"/>
        <w:snapToGrid w:val="0"/>
        <w:spacing w:line="360" w:lineRule="auto"/>
        <w:ind w:leftChars="0"/>
        <w:outlineLvl w:val="1"/>
        <w:rPr>
          <w:rFonts w:hint="eastAsia" w:ascii="宋体" w:hAnsi="宋体" w:eastAsia="宋体"/>
          <w:b/>
          <w:bCs/>
          <w:color w:val="000000" w:themeColor="text1"/>
          <w:kern w:val="0"/>
          <w:sz w:val="24"/>
          <w:lang w:val="en-US" w:eastAsia="zh-CN"/>
          <w14:textFill>
            <w14:solidFill>
              <w14:schemeClr w14:val="tx1"/>
            </w14:solidFill>
          </w14:textFill>
        </w:rPr>
      </w:pPr>
      <w:bookmarkStart w:id="137" w:name="_Toc26702"/>
      <w:r>
        <w:rPr>
          <w:rFonts w:hint="eastAsia" w:ascii="宋体" w:hAnsi="宋体"/>
          <w:b/>
          <w:bCs/>
          <w:color w:val="000000" w:themeColor="text1"/>
          <w:kern w:val="0"/>
          <w:sz w:val="24"/>
          <w:lang w:val="en-US" w:eastAsia="zh-CN"/>
          <w14:textFill>
            <w14:solidFill>
              <w14:schemeClr w14:val="tx1"/>
            </w14:solidFill>
          </w14:textFill>
        </w:rPr>
        <w:t>三、</w:t>
      </w:r>
      <w:r>
        <w:rPr>
          <w:rFonts w:hint="eastAsia" w:ascii="宋体" w:hAnsi="宋体" w:eastAsia="宋体"/>
          <w:b/>
          <w:bCs/>
          <w:color w:val="000000" w:themeColor="text1"/>
          <w:kern w:val="0"/>
          <w:sz w:val="24"/>
          <w:lang w:val="en-US" w:eastAsia="zh-CN"/>
          <w14:textFill>
            <w14:solidFill>
              <w14:schemeClr w14:val="tx1"/>
            </w14:solidFill>
          </w14:textFill>
        </w:rPr>
        <w:t>项目采购一览表</w:t>
      </w:r>
      <w:bookmarkEnd w:id="137"/>
    </w:p>
    <w:tbl>
      <w:tblPr>
        <w:tblStyle w:val="148"/>
        <w:tblpPr w:leftFromText="180" w:rightFromText="180" w:vertAnchor="page" w:horzAnchor="page" w:tblpX="1139" w:tblpY="2358"/>
        <w:tblOverlap w:val="never"/>
        <w:tblW w:w="96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2283"/>
        <w:gridCol w:w="3633"/>
        <w:gridCol w:w="16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950" w:type="dxa"/>
            <w:vMerge w:val="restart"/>
            <w:tcBorders>
              <w:left w:val="single" w:color="000000" w:sz="10" w:space="0"/>
              <w:bottom w:val="nil"/>
            </w:tcBorders>
            <w:vAlign w:val="center"/>
          </w:tcPr>
          <w:p>
            <w:pPr>
              <w:spacing w:line="20" w:lineRule="exact"/>
              <w:jc w:val="both"/>
              <w:rPr>
                <w:rFonts w:hint="eastAsia" w:ascii="宋体" w:hAnsi="宋体" w:eastAsia="宋体" w:cs="宋体"/>
                <w:sz w:val="24"/>
                <w:szCs w:val="24"/>
              </w:rPr>
            </w:pPr>
          </w:p>
          <w:p>
            <w:pPr>
              <w:spacing w:before="55" w:line="232" w:lineRule="auto"/>
              <w:ind w:left="235"/>
              <w:jc w:val="center"/>
              <w:rPr>
                <w:rFonts w:hint="eastAsia" w:ascii="宋体" w:hAnsi="宋体" w:eastAsia="宋体" w:cs="宋体"/>
                <w:sz w:val="24"/>
                <w:szCs w:val="24"/>
              </w:rPr>
            </w:pPr>
            <w:r>
              <w:rPr>
                <w:rFonts w:hint="eastAsia" w:ascii="宋体" w:hAnsi="宋体" w:eastAsia="宋体" w:cs="宋体"/>
                <w:spacing w:val="6"/>
                <w:sz w:val="24"/>
                <w:szCs w:val="24"/>
              </w:rPr>
              <w:t>序号</w:t>
            </w:r>
          </w:p>
        </w:tc>
        <w:tc>
          <w:tcPr>
            <w:tcW w:w="2283" w:type="dxa"/>
            <w:vMerge w:val="restart"/>
            <w:tcBorders>
              <w:bottom w:val="nil"/>
            </w:tcBorders>
            <w:vAlign w:val="center"/>
          </w:tcPr>
          <w:p>
            <w:pPr>
              <w:spacing w:line="20" w:lineRule="exact"/>
              <w:jc w:val="both"/>
              <w:rPr>
                <w:rFonts w:hint="eastAsia" w:ascii="宋体" w:hAnsi="宋体" w:eastAsia="宋体" w:cs="宋体"/>
                <w:sz w:val="24"/>
                <w:szCs w:val="24"/>
              </w:rPr>
            </w:pPr>
          </w:p>
          <w:p>
            <w:pPr>
              <w:spacing w:before="55" w:line="231" w:lineRule="auto"/>
              <w:ind w:left="446"/>
              <w:jc w:val="center"/>
              <w:rPr>
                <w:rFonts w:hint="eastAsia" w:ascii="宋体" w:hAnsi="宋体" w:eastAsia="宋体" w:cs="宋体"/>
                <w:sz w:val="24"/>
                <w:szCs w:val="24"/>
              </w:rPr>
            </w:pPr>
            <w:r>
              <w:rPr>
                <w:rFonts w:hint="eastAsia" w:ascii="宋体" w:hAnsi="宋体" w:eastAsia="宋体" w:cs="宋体"/>
                <w:spacing w:val="7"/>
                <w:sz w:val="24"/>
                <w:szCs w:val="24"/>
              </w:rPr>
              <w:t>项目名称</w:t>
            </w:r>
          </w:p>
        </w:tc>
        <w:tc>
          <w:tcPr>
            <w:tcW w:w="3633" w:type="dxa"/>
            <w:vMerge w:val="restart"/>
            <w:tcBorders>
              <w:bottom w:val="nil"/>
            </w:tcBorders>
            <w:vAlign w:val="center"/>
          </w:tcPr>
          <w:p>
            <w:pPr>
              <w:spacing w:line="20" w:lineRule="exact"/>
              <w:jc w:val="both"/>
              <w:rPr>
                <w:rFonts w:hint="eastAsia" w:ascii="宋体" w:hAnsi="宋体" w:eastAsia="宋体" w:cs="宋体"/>
                <w:sz w:val="24"/>
                <w:szCs w:val="24"/>
              </w:rPr>
            </w:pPr>
          </w:p>
          <w:p>
            <w:pPr>
              <w:spacing w:before="56" w:line="230" w:lineRule="auto"/>
              <w:ind w:left="420"/>
              <w:jc w:val="center"/>
              <w:rPr>
                <w:rFonts w:hint="eastAsia" w:ascii="宋体" w:hAnsi="宋体" w:eastAsia="宋体" w:cs="宋体"/>
                <w:sz w:val="24"/>
                <w:szCs w:val="24"/>
              </w:rPr>
            </w:pPr>
            <w:r>
              <w:rPr>
                <w:rFonts w:hint="eastAsia" w:ascii="宋体" w:hAnsi="宋体" w:cs="宋体"/>
                <w:spacing w:val="8"/>
                <w:sz w:val="24"/>
                <w:szCs w:val="24"/>
                <w:lang w:val="en-US" w:eastAsia="zh-CN"/>
              </w:rPr>
              <w:t>采购要求</w:t>
            </w:r>
            <w:r>
              <w:rPr>
                <w:rFonts w:hint="eastAsia" w:ascii="宋体" w:hAnsi="宋体" w:eastAsia="宋体" w:cs="宋体"/>
                <w:spacing w:val="8"/>
                <w:sz w:val="24"/>
                <w:szCs w:val="24"/>
              </w:rPr>
              <w:t>描述</w:t>
            </w:r>
          </w:p>
        </w:tc>
        <w:tc>
          <w:tcPr>
            <w:tcW w:w="1650" w:type="dxa"/>
            <w:vMerge w:val="restart"/>
            <w:tcBorders>
              <w:bottom w:val="nil"/>
            </w:tcBorders>
            <w:vAlign w:val="center"/>
          </w:tcPr>
          <w:p>
            <w:pPr>
              <w:spacing w:line="20" w:lineRule="exact"/>
              <w:jc w:val="both"/>
              <w:rPr>
                <w:rFonts w:hint="eastAsia" w:ascii="宋体" w:hAnsi="宋体" w:eastAsia="宋体" w:cs="宋体"/>
                <w:sz w:val="24"/>
                <w:szCs w:val="24"/>
              </w:rPr>
            </w:pPr>
          </w:p>
          <w:p>
            <w:pPr>
              <w:spacing w:before="56" w:line="213" w:lineRule="auto"/>
              <w:ind w:left="93" w:right="82" w:hanging="1"/>
              <w:jc w:val="center"/>
              <w:rPr>
                <w:rFonts w:hint="eastAsia" w:ascii="宋体" w:hAnsi="宋体" w:eastAsia="宋体" w:cs="宋体"/>
                <w:sz w:val="24"/>
                <w:szCs w:val="24"/>
              </w:rPr>
            </w:pPr>
            <w:r>
              <w:rPr>
                <w:rFonts w:hint="eastAsia" w:ascii="宋体" w:hAnsi="宋体" w:eastAsia="宋体" w:cs="宋体"/>
                <w:spacing w:val="6"/>
                <w:sz w:val="24"/>
                <w:szCs w:val="24"/>
              </w:rPr>
              <w:t>计量</w:t>
            </w:r>
            <w:r>
              <w:rPr>
                <w:rFonts w:hint="eastAsia" w:ascii="宋体" w:hAnsi="宋体" w:eastAsia="宋体" w:cs="宋体"/>
                <w:sz w:val="24"/>
                <w:szCs w:val="24"/>
              </w:rPr>
              <w:t xml:space="preserve"> </w:t>
            </w:r>
            <w:r>
              <w:rPr>
                <w:rFonts w:hint="eastAsia" w:ascii="宋体" w:hAnsi="宋体" w:eastAsia="宋体" w:cs="宋体"/>
                <w:spacing w:val="5"/>
                <w:sz w:val="24"/>
                <w:szCs w:val="24"/>
              </w:rPr>
              <w:t>单位</w:t>
            </w:r>
          </w:p>
        </w:tc>
        <w:tc>
          <w:tcPr>
            <w:tcW w:w="1134" w:type="dxa"/>
            <w:vMerge w:val="restart"/>
            <w:tcBorders>
              <w:bottom w:val="nil"/>
            </w:tcBorders>
            <w:vAlign w:val="center"/>
          </w:tcPr>
          <w:p>
            <w:pPr>
              <w:spacing w:line="20" w:lineRule="exact"/>
              <w:jc w:val="both"/>
              <w:rPr>
                <w:rFonts w:hint="eastAsia" w:ascii="宋体" w:hAnsi="宋体" w:eastAsia="宋体" w:cs="宋体"/>
                <w:sz w:val="24"/>
                <w:szCs w:val="24"/>
              </w:rPr>
            </w:pPr>
          </w:p>
          <w:p>
            <w:pPr>
              <w:spacing w:before="55" w:line="231" w:lineRule="auto"/>
              <w:ind w:left="140"/>
              <w:jc w:val="center"/>
              <w:rPr>
                <w:rFonts w:hint="eastAsia" w:ascii="宋体" w:hAnsi="宋体" w:eastAsia="宋体" w:cs="宋体"/>
                <w:sz w:val="24"/>
                <w:szCs w:val="24"/>
              </w:rPr>
            </w:pPr>
            <w:r>
              <w:rPr>
                <w:rFonts w:hint="eastAsia" w:ascii="宋体" w:hAnsi="宋体" w:eastAsia="宋体" w:cs="宋体"/>
                <w:spacing w:val="6"/>
                <w:sz w:val="24"/>
                <w:szCs w:val="24"/>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50" w:type="dxa"/>
            <w:vMerge w:val="continue"/>
            <w:tcBorders>
              <w:top w:val="nil"/>
              <w:left w:val="single" w:color="000000" w:sz="10" w:space="0"/>
              <w:bottom w:val="nil"/>
            </w:tcBorders>
            <w:vAlign w:val="top"/>
          </w:tcPr>
          <w:p>
            <w:pPr>
              <w:pStyle w:val="53"/>
              <w:rPr>
                <w:rFonts w:hint="eastAsia" w:ascii="宋体" w:hAnsi="宋体" w:eastAsia="宋体" w:cs="宋体"/>
                <w:sz w:val="24"/>
                <w:szCs w:val="24"/>
              </w:rPr>
            </w:pPr>
          </w:p>
        </w:tc>
        <w:tc>
          <w:tcPr>
            <w:tcW w:w="2283" w:type="dxa"/>
            <w:vMerge w:val="continue"/>
            <w:tcBorders>
              <w:top w:val="nil"/>
              <w:bottom w:val="nil"/>
            </w:tcBorders>
            <w:vAlign w:val="top"/>
          </w:tcPr>
          <w:p>
            <w:pPr>
              <w:pStyle w:val="53"/>
              <w:rPr>
                <w:rFonts w:hint="eastAsia" w:ascii="宋体" w:hAnsi="宋体" w:eastAsia="宋体" w:cs="宋体"/>
                <w:sz w:val="24"/>
                <w:szCs w:val="24"/>
              </w:rPr>
            </w:pPr>
          </w:p>
        </w:tc>
        <w:tc>
          <w:tcPr>
            <w:tcW w:w="3633" w:type="dxa"/>
            <w:vMerge w:val="continue"/>
            <w:tcBorders>
              <w:top w:val="nil"/>
              <w:bottom w:val="nil"/>
            </w:tcBorders>
            <w:vAlign w:val="top"/>
          </w:tcPr>
          <w:p>
            <w:pPr>
              <w:pStyle w:val="53"/>
              <w:rPr>
                <w:rFonts w:hint="eastAsia" w:ascii="宋体" w:hAnsi="宋体" w:eastAsia="宋体" w:cs="宋体"/>
                <w:sz w:val="24"/>
                <w:szCs w:val="24"/>
              </w:rPr>
            </w:pPr>
          </w:p>
        </w:tc>
        <w:tc>
          <w:tcPr>
            <w:tcW w:w="1650" w:type="dxa"/>
            <w:vMerge w:val="continue"/>
            <w:tcBorders>
              <w:top w:val="nil"/>
              <w:bottom w:val="nil"/>
            </w:tcBorders>
            <w:vAlign w:val="top"/>
          </w:tcPr>
          <w:p>
            <w:pPr>
              <w:pStyle w:val="53"/>
              <w:rPr>
                <w:rFonts w:hint="eastAsia" w:ascii="宋体" w:hAnsi="宋体" w:eastAsia="宋体" w:cs="宋体"/>
                <w:sz w:val="24"/>
                <w:szCs w:val="24"/>
              </w:rPr>
            </w:pPr>
          </w:p>
        </w:tc>
        <w:tc>
          <w:tcPr>
            <w:tcW w:w="1134" w:type="dxa"/>
            <w:vMerge w:val="continue"/>
            <w:tcBorders>
              <w:top w:val="nil"/>
              <w:bottom w:val="nil"/>
            </w:tcBorders>
            <w:vAlign w:val="top"/>
          </w:tcPr>
          <w:p>
            <w:pPr>
              <w:pStyle w:val="53"/>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0" w:type="dxa"/>
            <w:vMerge w:val="continue"/>
            <w:tcBorders>
              <w:top w:val="nil"/>
              <w:left w:val="single" w:color="000000" w:sz="10" w:space="0"/>
            </w:tcBorders>
            <w:vAlign w:val="top"/>
          </w:tcPr>
          <w:p>
            <w:pPr>
              <w:pStyle w:val="53"/>
              <w:rPr>
                <w:rFonts w:hint="eastAsia" w:ascii="宋体" w:hAnsi="宋体" w:eastAsia="宋体" w:cs="宋体"/>
                <w:sz w:val="24"/>
                <w:szCs w:val="24"/>
              </w:rPr>
            </w:pPr>
          </w:p>
        </w:tc>
        <w:tc>
          <w:tcPr>
            <w:tcW w:w="2283" w:type="dxa"/>
            <w:vMerge w:val="continue"/>
            <w:tcBorders>
              <w:top w:val="nil"/>
            </w:tcBorders>
            <w:vAlign w:val="top"/>
          </w:tcPr>
          <w:p>
            <w:pPr>
              <w:pStyle w:val="53"/>
              <w:rPr>
                <w:rFonts w:hint="eastAsia" w:ascii="宋体" w:hAnsi="宋体" w:eastAsia="宋体" w:cs="宋体"/>
                <w:sz w:val="24"/>
                <w:szCs w:val="24"/>
              </w:rPr>
            </w:pPr>
          </w:p>
        </w:tc>
        <w:tc>
          <w:tcPr>
            <w:tcW w:w="3633" w:type="dxa"/>
            <w:vMerge w:val="continue"/>
            <w:tcBorders>
              <w:top w:val="nil"/>
            </w:tcBorders>
            <w:vAlign w:val="top"/>
          </w:tcPr>
          <w:p>
            <w:pPr>
              <w:pStyle w:val="53"/>
              <w:rPr>
                <w:rFonts w:hint="eastAsia" w:ascii="宋体" w:hAnsi="宋体" w:eastAsia="宋体" w:cs="宋体"/>
                <w:sz w:val="24"/>
                <w:szCs w:val="24"/>
              </w:rPr>
            </w:pPr>
          </w:p>
        </w:tc>
        <w:tc>
          <w:tcPr>
            <w:tcW w:w="1650" w:type="dxa"/>
            <w:vMerge w:val="continue"/>
            <w:tcBorders>
              <w:top w:val="nil"/>
            </w:tcBorders>
            <w:vAlign w:val="top"/>
          </w:tcPr>
          <w:p>
            <w:pPr>
              <w:pStyle w:val="53"/>
              <w:rPr>
                <w:rFonts w:hint="eastAsia" w:ascii="宋体" w:hAnsi="宋体" w:eastAsia="宋体" w:cs="宋体"/>
                <w:sz w:val="24"/>
                <w:szCs w:val="24"/>
              </w:rPr>
            </w:pPr>
          </w:p>
        </w:tc>
        <w:tc>
          <w:tcPr>
            <w:tcW w:w="1134" w:type="dxa"/>
            <w:vMerge w:val="continue"/>
            <w:tcBorders>
              <w:top w:val="nil"/>
            </w:tcBorders>
            <w:vAlign w:val="top"/>
          </w:tcPr>
          <w:p>
            <w:pPr>
              <w:pStyle w:val="53"/>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50" w:type="dxa"/>
            <w:gridSpan w:val="5"/>
            <w:tcBorders>
              <w:left w:val="single" w:color="000000" w:sz="10" w:space="0"/>
            </w:tcBorders>
            <w:vAlign w:val="top"/>
          </w:tcPr>
          <w:p>
            <w:pPr>
              <w:pStyle w:val="53"/>
              <w:jc w:val="both"/>
              <w:rPr>
                <w:rFonts w:hint="eastAsia" w:ascii="宋体" w:hAnsi="宋体" w:eastAsia="宋体" w:cs="宋体"/>
                <w:sz w:val="24"/>
                <w:szCs w:val="24"/>
              </w:rPr>
            </w:pPr>
            <w:r>
              <w:rPr>
                <w:rFonts w:hint="eastAsia" w:ascii="宋体" w:hAnsi="宋体" w:eastAsia="宋体" w:cs="宋体"/>
                <w:spacing w:val="8"/>
                <w:sz w:val="24"/>
                <w:szCs w:val="24"/>
              </w:rPr>
              <w:t>整地、土壤改良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950" w:type="dxa"/>
            <w:tcBorders>
              <w:left w:val="single" w:color="000000" w:sz="10" w:space="0"/>
            </w:tcBorders>
            <w:vAlign w:val="top"/>
          </w:tcPr>
          <w:p>
            <w:pPr>
              <w:spacing w:before="201" w:line="189" w:lineRule="auto"/>
              <w:ind w:left="384"/>
              <w:rPr>
                <w:rFonts w:hint="eastAsia" w:ascii="宋体" w:hAnsi="宋体" w:eastAsia="宋体" w:cs="宋体"/>
                <w:sz w:val="24"/>
                <w:szCs w:val="24"/>
              </w:rPr>
            </w:pPr>
            <w:r>
              <w:rPr>
                <w:rFonts w:hint="eastAsia" w:ascii="宋体" w:hAnsi="宋体" w:eastAsia="宋体" w:cs="宋体"/>
                <w:sz w:val="24"/>
                <w:szCs w:val="24"/>
              </w:rPr>
              <w:t>1</w:t>
            </w:r>
          </w:p>
        </w:tc>
        <w:tc>
          <w:tcPr>
            <w:tcW w:w="2283" w:type="dxa"/>
            <w:vAlign w:val="top"/>
          </w:tcPr>
          <w:p>
            <w:pPr>
              <w:spacing w:before="171" w:line="231" w:lineRule="auto"/>
              <w:ind w:left="23"/>
              <w:rPr>
                <w:rFonts w:hint="eastAsia" w:ascii="宋体" w:hAnsi="宋体" w:eastAsia="宋体" w:cs="宋体"/>
                <w:sz w:val="24"/>
                <w:szCs w:val="24"/>
              </w:rPr>
            </w:pPr>
            <w:r>
              <w:rPr>
                <w:rFonts w:hint="eastAsia" w:ascii="宋体" w:hAnsi="宋体" w:eastAsia="宋体" w:cs="宋体"/>
                <w:spacing w:val="8"/>
                <w:sz w:val="24"/>
                <w:szCs w:val="24"/>
              </w:rPr>
              <w:t>平整场地</w:t>
            </w:r>
          </w:p>
        </w:tc>
        <w:tc>
          <w:tcPr>
            <w:tcW w:w="3633" w:type="dxa"/>
            <w:vAlign w:val="top"/>
          </w:tcPr>
          <w:p>
            <w:pPr>
              <w:spacing w:before="82" w:line="212" w:lineRule="auto"/>
              <w:ind w:left="27" w:right="158" w:firstLine="14"/>
              <w:jc w:val="left"/>
              <w:rPr>
                <w:rFonts w:hint="eastAsia" w:ascii="宋体" w:hAnsi="宋体" w:eastAsia="宋体" w:cs="宋体"/>
                <w:sz w:val="24"/>
                <w:szCs w:val="24"/>
              </w:rPr>
            </w:pPr>
            <w:r>
              <w:rPr>
                <w:rFonts w:hint="eastAsia" w:ascii="宋体" w:hAnsi="宋体" w:eastAsia="宋体" w:cs="宋体"/>
                <w:spacing w:val="6"/>
                <w:sz w:val="24"/>
                <w:szCs w:val="24"/>
              </w:rPr>
              <w:t>1.厚度300</w:t>
            </w:r>
            <w:r>
              <w:rPr>
                <w:rFonts w:hint="eastAsia" w:ascii="宋体" w:hAnsi="宋体" w:eastAsia="宋体" w:cs="宋体"/>
                <w:sz w:val="24"/>
                <w:szCs w:val="24"/>
              </w:rPr>
              <w:t>mm</w:t>
            </w:r>
            <w:r>
              <w:rPr>
                <w:rFonts w:hint="eastAsia" w:ascii="宋体" w:hAnsi="宋体" w:eastAsia="宋体" w:cs="宋体"/>
                <w:spacing w:val="6"/>
                <w:sz w:val="24"/>
                <w:szCs w:val="24"/>
              </w:rPr>
              <w:t>范围内人</w:t>
            </w:r>
            <w:r>
              <w:rPr>
                <w:rFonts w:hint="eastAsia" w:ascii="宋体" w:hAnsi="宋体" w:eastAsia="宋体" w:cs="宋体"/>
                <w:spacing w:val="4"/>
                <w:sz w:val="24"/>
                <w:szCs w:val="24"/>
              </w:rPr>
              <w:t xml:space="preserve"> </w:t>
            </w:r>
            <w:r>
              <w:rPr>
                <w:rFonts w:hint="eastAsia" w:ascii="宋体" w:hAnsi="宋体" w:eastAsia="宋体" w:cs="宋体"/>
                <w:spacing w:val="8"/>
                <w:sz w:val="24"/>
                <w:szCs w:val="24"/>
              </w:rPr>
              <w:t>机配合场地平整</w:t>
            </w:r>
          </w:p>
        </w:tc>
        <w:tc>
          <w:tcPr>
            <w:tcW w:w="1650" w:type="dxa"/>
            <w:vAlign w:val="top"/>
          </w:tcPr>
          <w:p>
            <w:pPr>
              <w:spacing w:before="201" w:line="188" w:lineRule="auto"/>
              <w:ind w:left="177"/>
              <w:jc w:val="center"/>
              <w:rPr>
                <w:rFonts w:hint="eastAsia" w:ascii="宋体" w:hAnsi="宋体" w:eastAsia="宋体" w:cs="宋体"/>
                <w:sz w:val="24"/>
                <w:szCs w:val="24"/>
              </w:rPr>
            </w:pPr>
            <w:r>
              <w:rPr>
                <w:rFonts w:hint="eastAsia" w:ascii="宋体" w:hAnsi="宋体" w:eastAsia="宋体" w:cs="宋体"/>
                <w:spacing w:val="3"/>
                <w:sz w:val="24"/>
                <w:szCs w:val="24"/>
              </w:rPr>
              <w:t>m2</w:t>
            </w:r>
          </w:p>
        </w:tc>
        <w:tc>
          <w:tcPr>
            <w:tcW w:w="1134" w:type="dxa"/>
            <w:vAlign w:val="top"/>
          </w:tcPr>
          <w:p>
            <w:pPr>
              <w:spacing w:before="201" w:line="189" w:lineRule="auto"/>
              <w:ind w:left="184"/>
              <w:rPr>
                <w:rFonts w:hint="eastAsia" w:ascii="宋体" w:hAnsi="宋体" w:eastAsia="宋体" w:cs="宋体"/>
                <w:sz w:val="24"/>
                <w:szCs w:val="24"/>
              </w:rPr>
            </w:pPr>
            <w:r>
              <w:rPr>
                <w:rFonts w:hint="eastAsia" w:ascii="宋体" w:hAnsi="宋体" w:eastAsia="宋体" w:cs="宋体"/>
                <w:spacing w:val="3"/>
                <w:sz w:val="24"/>
                <w:szCs w:val="24"/>
              </w:rPr>
              <w:t>80040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950" w:type="dxa"/>
            <w:tcBorders>
              <w:left w:val="single" w:color="000000" w:sz="10" w:space="0"/>
            </w:tcBorders>
            <w:vAlign w:val="top"/>
          </w:tcPr>
          <w:p>
            <w:pPr>
              <w:spacing w:before="202" w:line="188" w:lineRule="auto"/>
              <w:ind w:left="373"/>
              <w:rPr>
                <w:rFonts w:hint="eastAsia" w:ascii="宋体" w:hAnsi="宋体" w:eastAsia="宋体" w:cs="宋体"/>
                <w:sz w:val="24"/>
                <w:szCs w:val="24"/>
              </w:rPr>
            </w:pPr>
            <w:r>
              <w:rPr>
                <w:rFonts w:hint="eastAsia" w:ascii="宋体" w:hAnsi="宋体" w:eastAsia="宋体" w:cs="宋体"/>
                <w:sz w:val="24"/>
                <w:szCs w:val="24"/>
              </w:rPr>
              <w:t>2</w:t>
            </w:r>
          </w:p>
        </w:tc>
        <w:tc>
          <w:tcPr>
            <w:tcW w:w="2283" w:type="dxa"/>
            <w:vAlign w:val="top"/>
          </w:tcPr>
          <w:p>
            <w:pPr>
              <w:spacing w:before="171" w:line="230" w:lineRule="auto"/>
              <w:ind w:left="23"/>
              <w:rPr>
                <w:rFonts w:hint="eastAsia" w:ascii="宋体" w:hAnsi="宋体" w:eastAsia="宋体" w:cs="宋体"/>
                <w:sz w:val="24"/>
                <w:szCs w:val="24"/>
              </w:rPr>
            </w:pPr>
            <w:r>
              <w:rPr>
                <w:rFonts w:hint="eastAsia" w:ascii="宋体" w:hAnsi="宋体" w:eastAsia="宋体" w:cs="宋体"/>
                <w:spacing w:val="8"/>
                <w:sz w:val="24"/>
                <w:szCs w:val="24"/>
              </w:rPr>
              <w:t>施有机肥</w:t>
            </w:r>
          </w:p>
        </w:tc>
        <w:tc>
          <w:tcPr>
            <w:tcW w:w="3633" w:type="dxa"/>
            <w:vAlign w:val="top"/>
          </w:tcPr>
          <w:p>
            <w:pPr>
              <w:spacing w:before="81" w:line="213" w:lineRule="auto"/>
              <w:ind w:left="28" w:right="203" w:firstLine="13"/>
              <w:jc w:val="left"/>
              <w:rPr>
                <w:rFonts w:hint="eastAsia" w:ascii="宋体" w:hAnsi="宋体" w:eastAsia="宋体" w:cs="宋体"/>
                <w:sz w:val="24"/>
                <w:szCs w:val="24"/>
              </w:rPr>
            </w:pPr>
            <w:r>
              <w:rPr>
                <w:rFonts w:hint="eastAsia" w:ascii="宋体" w:hAnsi="宋体" w:eastAsia="宋体" w:cs="宋体"/>
                <w:spacing w:val="2"/>
                <w:sz w:val="24"/>
                <w:szCs w:val="24"/>
              </w:rPr>
              <w:t xml:space="preserve">1.每亩按3m3有机肥， </w:t>
            </w:r>
            <w:r>
              <w:rPr>
                <w:rFonts w:hint="eastAsia" w:ascii="宋体" w:hAnsi="宋体" w:eastAsia="宋体" w:cs="宋体"/>
                <w:spacing w:val="8"/>
                <w:sz w:val="24"/>
                <w:szCs w:val="24"/>
              </w:rPr>
              <w:t>含人工及运输</w:t>
            </w:r>
          </w:p>
        </w:tc>
        <w:tc>
          <w:tcPr>
            <w:tcW w:w="1650" w:type="dxa"/>
            <w:vAlign w:val="top"/>
          </w:tcPr>
          <w:p>
            <w:pPr>
              <w:spacing w:before="201" w:line="189" w:lineRule="auto"/>
              <w:ind w:left="177"/>
              <w:jc w:val="center"/>
              <w:rPr>
                <w:rFonts w:hint="eastAsia" w:ascii="宋体" w:hAnsi="宋体" w:eastAsia="宋体" w:cs="宋体"/>
                <w:sz w:val="24"/>
                <w:szCs w:val="24"/>
              </w:rPr>
            </w:pPr>
            <w:r>
              <w:rPr>
                <w:rFonts w:hint="eastAsia" w:ascii="宋体" w:hAnsi="宋体" w:eastAsia="宋体" w:cs="宋体"/>
                <w:spacing w:val="3"/>
                <w:sz w:val="24"/>
                <w:szCs w:val="24"/>
              </w:rPr>
              <w:t>m3</w:t>
            </w:r>
          </w:p>
        </w:tc>
        <w:tc>
          <w:tcPr>
            <w:tcW w:w="1134" w:type="dxa"/>
            <w:vAlign w:val="top"/>
          </w:tcPr>
          <w:p>
            <w:pPr>
              <w:spacing w:before="201" w:line="189" w:lineRule="auto"/>
              <w:ind w:left="277"/>
              <w:rPr>
                <w:rFonts w:hint="eastAsia" w:ascii="宋体" w:hAnsi="宋体" w:eastAsia="宋体" w:cs="宋体"/>
                <w:sz w:val="24"/>
                <w:szCs w:val="24"/>
              </w:rPr>
            </w:pPr>
            <w:r>
              <w:rPr>
                <w:rFonts w:hint="eastAsia" w:ascii="宋体" w:hAnsi="宋体" w:eastAsia="宋体" w:cs="宋体"/>
                <w:spacing w:val="1"/>
                <w:sz w:val="24"/>
                <w:szCs w:val="24"/>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50" w:type="dxa"/>
            <w:tcBorders>
              <w:left w:val="single" w:color="000000" w:sz="10" w:space="0"/>
            </w:tcBorders>
            <w:vAlign w:val="top"/>
          </w:tcPr>
          <w:p>
            <w:pPr>
              <w:spacing w:before="202" w:line="189" w:lineRule="auto"/>
              <w:ind w:left="374"/>
              <w:rPr>
                <w:rFonts w:hint="eastAsia" w:ascii="宋体" w:hAnsi="宋体" w:eastAsia="宋体" w:cs="宋体"/>
                <w:sz w:val="24"/>
                <w:szCs w:val="24"/>
              </w:rPr>
            </w:pPr>
            <w:r>
              <w:rPr>
                <w:rFonts w:hint="eastAsia" w:ascii="宋体" w:hAnsi="宋体" w:eastAsia="宋体" w:cs="宋体"/>
                <w:sz w:val="24"/>
                <w:szCs w:val="24"/>
              </w:rPr>
              <w:t>3</w:t>
            </w:r>
          </w:p>
        </w:tc>
        <w:tc>
          <w:tcPr>
            <w:tcW w:w="2283" w:type="dxa"/>
            <w:vAlign w:val="top"/>
          </w:tcPr>
          <w:p>
            <w:pPr>
              <w:spacing w:before="172" w:line="230" w:lineRule="auto"/>
              <w:ind w:left="25"/>
              <w:rPr>
                <w:rFonts w:hint="eastAsia" w:ascii="宋体" w:hAnsi="宋体" w:eastAsia="宋体" w:cs="宋体"/>
                <w:sz w:val="24"/>
                <w:szCs w:val="24"/>
              </w:rPr>
            </w:pPr>
            <w:r>
              <w:rPr>
                <w:rFonts w:hint="eastAsia" w:ascii="宋体" w:hAnsi="宋体" w:eastAsia="宋体" w:cs="宋体"/>
                <w:spacing w:val="5"/>
                <w:sz w:val="24"/>
                <w:szCs w:val="24"/>
              </w:rPr>
              <w:t>化肥</w:t>
            </w:r>
          </w:p>
        </w:tc>
        <w:tc>
          <w:tcPr>
            <w:tcW w:w="3633" w:type="dxa"/>
            <w:vAlign w:val="top"/>
          </w:tcPr>
          <w:p>
            <w:pPr>
              <w:spacing w:before="82" w:line="210" w:lineRule="auto"/>
              <w:ind w:left="26" w:right="68" w:firstLine="14"/>
              <w:jc w:val="left"/>
              <w:rPr>
                <w:rFonts w:hint="eastAsia" w:ascii="宋体" w:hAnsi="宋体" w:eastAsia="宋体" w:cs="宋体"/>
                <w:sz w:val="24"/>
                <w:szCs w:val="24"/>
              </w:rPr>
            </w:pPr>
            <w:r>
              <w:rPr>
                <w:rFonts w:hint="eastAsia" w:ascii="宋体" w:hAnsi="宋体" w:eastAsia="宋体" w:cs="宋体"/>
                <w:spacing w:val="6"/>
                <w:sz w:val="24"/>
                <w:szCs w:val="24"/>
              </w:rPr>
              <w:t>1.磷酸二胺，每亩按15</w:t>
            </w:r>
            <w:r>
              <w:rPr>
                <w:rFonts w:hint="eastAsia" w:ascii="宋体" w:hAnsi="宋体" w:eastAsia="宋体" w:cs="宋体"/>
                <w:spacing w:val="3"/>
                <w:sz w:val="24"/>
                <w:szCs w:val="24"/>
              </w:rPr>
              <w:t xml:space="preserve"> </w:t>
            </w:r>
            <w:r>
              <w:rPr>
                <w:rFonts w:hint="eastAsia" w:ascii="宋体" w:hAnsi="宋体" w:eastAsia="宋体" w:cs="宋体"/>
                <w:sz w:val="24"/>
                <w:szCs w:val="24"/>
              </w:rPr>
              <w:t>kg</w:t>
            </w:r>
            <w:r>
              <w:rPr>
                <w:rFonts w:hint="eastAsia" w:ascii="宋体" w:hAnsi="宋体" w:eastAsia="宋体" w:cs="宋体"/>
                <w:spacing w:val="13"/>
                <w:sz w:val="24"/>
                <w:szCs w:val="24"/>
              </w:rPr>
              <w:t>计</w:t>
            </w:r>
          </w:p>
        </w:tc>
        <w:tc>
          <w:tcPr>
            <w:tcW w:w="1650" w:type="dxa"/>
            <w:vAlign w:val="top"/>
          </w:tcPr>
          <w:p>
            <w:pPr>
              <w:spacing w:before="172" w:line="225" w:lineRule="auto"/>
              <w:ind w:left="181"/>
              <w:jc w:val="center"/>
              <w:rPr>
                <w:rFonts w:hint="eastAsia" w:ascii="宋体" w:hAnsi="宋体" w:eastAsia="宋体" w:cs="宋体"/>
                <w:sz w:val="24"/>
                <w:szCs w:val="24"/>
              </w:rPr>
            </w:pPr>
            <w:r>
              <w:rPr>
                <w:rFonts w:hint="eastAsia" w:ascii="宋体" w:hAnsi="宋体" w:eastAsia="宋体" w:cs="宋体"/>
                <w:spacing w:val="2"/>
                <w:sz w:val="24"/>
                <w:szCs w:val="24"/>
              </w:rPr>
              <w:t>kg</w:t>
            </w:r>
          </w:p>
        </w:tc>
        <w:tc>
          <w:tcPr>
            <w:tcW w:w="1134" w:type="dxa"/>
            <w:vAlign w:val="top"/>
          </w:tcPr>
          <w:p>
            <w:pPr>
              <w:spacing w:before="202" w:line="189" w:lineRule="auto"/>
              <w:ind w:left="241"/>
              <w:rPr>
                <w:rFonts w:hint="eastAsia" w:ascii="宋体" w:hAnsi="宋体" w:eastAsia="宋体" w:cs="宋体"/>
                <w:sz w:val="24"/>
                <w:szCs w:val="24"/>
              </w:rPr>
            </w:pPr>
            <w:r>
              <w:rPr>
                <w:rFonts w:hint="eastAsia" w:ascii="宋体" w:hAnsi="宋体" w:eastAsia="宋体" w:cs="宋体"/>
                <w:spacing w:val="-1"/>
                <w:sz w:val="24"/>
                <w:szCs w:val="24"/>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50" w:type="dxa"/>
            <w:tcBorders>
              <w:left w:val="single" w:color="000000" w:sz="10" w:space="0"/>
            </w:tcBorders>
            <w:vAlign w:val="top"/>
          </w:tcPr>
          <w:p>
            <w:pPr>
              <w:spacing w:before="203" w:line="188" w:lineRule="auto"/>
              <w:ind w:left="370"/>
              <w:rPr>
                <w:rFonts w:hint="eastAsia" w:ascii="宋体" w:hAnsi="宋体" w:eastAsia="宋体" w:cs="宋体"/>
                <w:sz w:val="24"/>
                <w:szCs w:val="24"/>
              </w:rPr>
            </w:pPr>
            <w:r>
              <w:rPr>
                <w:rFonts w:hint="eastAsia" w:ascii="宋体" w:hAnsi="宋体" w:eastAsia="宋体" w:cs="宋体"/>
                <w:sz w:val="24"/>
                <w:szCs w:val="24"/>
              </w:rPr>
              <w:t>4</w:t>
            </w:r>
          </w:p>
        </w:tc>
        <w:tc>
          <w:tcPr>
            <w:tcW w:w="2283" w:type="dxa"/>
            <w:vAlign w:val="top"/>
          </w:tcPr>
          <w:p>
            <w:pPr>
              <w:spacing w:before="172" w:line="232" w:lineRule="auto"/>
              <w:ind w:left="23"/>
              <w:rPr>
                <w:rFonts w:hint="eastAsia" w:ascii="宋体" w:hAnsi="宋体" w:eastAsia="宋体" w:cs="宋体"/>
                <w:sz w:val="24"/>
                <w:szCs w:val="24"/>
              </w:rPr>
            </w:pPr>
            <w:r>
              <w:rPr>
                <w:rFonts w:hint="eastAsia" w:ascii="宋体" w:hAnsi="宋体" w:eastAsia="宋体" w:cs="宋体"/>
                <w:spacing w:val="8"/>
                <w:sz w:val="24"/>
                <w:szCs w:val="24"/>
              </w:rPr>
              <w:t>硫酸亚铁</w:t>
            </w:r>
          </w:p>
        </w:tc>
        <w:tc>
          <w:tcPr>
            <w:tcW w:w="3633" w:type="dxa"/>
            <w:vAlign w:val="top"/>
          </w:tcPr>
          <w:p>
            <w:pPr>
              <w:spacing w:before="82" w:line="214" w:lineRule="auto"/>
              <w:ind w:left="28" w:right="68" w:firstLine="13"/>
              <w:jc w:val="left"/>
              <w:rPr>
                <w:rFonts w:hint="eastAsia" w:ascii="宋体" w:hAnsi="宋体" w:eastAsia="宋体" w:cs="宋体"/>
                <w:sz w:val="24"/>
                <w:szCs w:val="24"/>
              </w:rPr>
            </w:pPr>
            <w:r>
              <w:rPr>
                <w:rFonts w:hint="eastAsia" w:ascii="宋体" w:hAnsi="宋体" w:eastAsia="宋体" w:cs="宋体"/>
                <w:spacing w:val="6"/>
                <w:sz w:val="24"/>
                <w:szCs w:val="24"/>
              </w:rPr>
              <w:t>1.硫酸亚铁按每亩20</w:t>
            </w:r>
            <w:r>
              <w:rPr>
                <w:rFonts w:hint="eastAsia" w:ascii="宋体" w:hAnsi="宋体" w:eastAsia="宋体" w:cs="宋体"/>
                <w:sz w:val="24"/>
                <w:szCs w:val="24"/>
              </w:rPr>
              <w:t>kg</w:t>
            </w:r>
            <w:r>
              <w:rPr>
                <w:rFonts w:hint="eastAsia" w:ascii="宋体" w:hAnsi="宋体" w:eastAsia="宋体" w:cs="宋体"/>
                <w:spacing w:val="9"/>
                <w:sz w:val="24"/>
                <w:szCs w:val="24"/>
              </w:rPr>
              <w:t xml:space="preserve"> </w:t>
            </w:r>
            <w:r>
              <w:rPr>
                <w:rFonts w:hint="eastAsia" w:ascii="宋体" w:hAnsi="宋体" w:eastAsia="宋体" w:cs="宋体"/>
                <w:spacing w:val="2"/>
                <w:sz w:val="24"/>
                <w:szCs w:val="24"/>
              </w:rPr>
              <w:t>计</w:t>
            </w:r>
          </w:p>
        </w:tc>
        <w:tc>
          <w:tcPr>
            <w:tcW w:w="1650" w:type="dxa"/>
            <w:vAlign w:val="top"/>
          </w:tcPr>
          <w:p>
            <w:pPr>
              <w:spacing w:before="172" w:line="225" w:lineRule="auto"/>
              <w:ind w:left="181"/>
              <w:jc w:val="center"/>
              <w:rPr>
                <w:rFonts w:hint="eastAsia" w:ascii="宋体" w:hAnsi="宋体" w:eastAsia="宋体" w:cs="宋体"/>
                <w:sz w:val="24"/>
                <w:szCs w:val="24"/>
              </w:rPr>
            </w:pPr>
            <w:r>
              <w:rPr>
                <w:rFonts w:hint="eastAsia" w:ascii="宋体" w:hAnsi="宋体" w:eastAsia="宋体" w:cs="宋体"/>
                <w:spacing w:val="2"/>
                <w:sz w:val="24"/>
                <w:szCs w:val="24"/>
              </w:rPr>
              <w:t>kg</w:t>
            </w:r>
          </w:p>
        </w:tc>
        <w:tc>
          <w:tcPr>
            <w:tcW w:w="1134" w:type="dxa"/>
            <w:vAlign w:val="top"/>
          </w:tcPr>
          <w:p>
            <w:pPr>
              <w:spacing w:before="202" w:line="189" w:lineRule="auto"/>
              <w:ind w:left="230"/>
              <w:rPr>
                <w:rFonts w:hint="eastAsia" w:ascii="宋体" w:hAnsi="宋体" w:eastAsia="宋体" w:cs="宋体"/>
                <w:sz w:val="24"/>
                <w:szCs w:val="24"/>
              </w:rPr>
            </w:pPr>
            <w:r>
              <w:rPr>
                <w:rFonts w:hint="eastAsia" w:ascii="宋体" w:hAnsi="宋体" w:eastAsia="宋体" w:cs="宋体"/>
                <w:spacing w:val="2"/>
                <w:sz w:val="24"/>
                <w:szCs w:val="24"/>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950" w:type="dxa"/>
            <w:tcBorders>
              <w:left w:val="single" w:color="000000" w:sz="10" w:space="0"/>
            </w:tcBorders>
            <w:vAlign w:val="top"/>
          </w:tcPr>
          <w:p>
            <w:pPr>
              <w:spacing w:before="85" w:line="187" w:lineRule="auto"/>
              <w:ind w:left="374"/>
              <w:rPr>
                <w:rFonts w:hint="eastAsia" w:ascii="宋体" w:hAnsi="宋体" w:eastAsia="宋体" w:cs="宋体"/>
                <w:sz w:val="24"/>
                <w:szCs w:val="24"/>
              </w:rPr>
            </w:pPr>
            <w:r>
              <w:rPr>
                <w:rFonts w:hint="eastAsia" w:ascii="宋体" w:hAnsi="宋体" w:eastAsia="宋体" w:cs="宋体"/>
                <w:sz w:val="24"/>
                <w:szCs w:val="24"/>
              </w:rPr>
              <w:t>5</w:t>
            </w:r>
          </w:p>
        </w:tc>
        <w:tc>
          <w:tcPr>
            <w:tcW w:w="2283" w:type="dxa"/>
            <w:vAlign w:val="top"/>
          </w:tcPr>
          <w:p>
            <w:pPr>
              <w:spacing w:before="53" w:line="230" w:lineRule="auto"/>
              <w:ind w:left="32"/>
              <w:rPr>
                <w:rFonts w:hint="eastAsia" w:ascii="宋体" w:hAnsi="宋体" w:eastAsia="宋体" w:cs="宋体"/>
                <w:sz w:val="24"/>
                <w:szCs w:val="24"/>
              </w:rPr>
            </w:pPr>
            <w:r>
              <w:rPr>
                <w:rFonts w:hint="eastAsia" w:ascii="宋体" w:hAnsi="宋体" w:eastAsia="宋体" w:cs="宋体"/>
                <w:spacing w:val="4"/>
                <w:sz w:val="24"/>
                <w:szCs w:val="24"/>
              </w:rPr>
              <w:t>多菌灵</w:t>
            </w:r>
          </w:p>
        </w:tc>
        <w:tc>
          <w:tcPr>
            <w:tcW w:w="3633" w:type="dxa"/>
            <w:vAlign w:val="top"/>
          </w:tcPr>
          <w:p>
            <w:pPr>
              <w:spacing w:before="53" w:line="225" w:lineRule="auto"/>
              <w:ind w:left="41"/>
              <w:jc w:val="left"/>
              <w:rPr>
                <w:rFonts w:hint="eastAsia" w:ascii="宋体" w:hAnsi="宋体" w:eastAsia="宋体" w:cs="宋体"/>
                <w:sz w:val="24"/>
                <w:szCs w:val="24"/>
              </w:rPr>
            </w:pPr>
            <w:r>
              <w:rPr>
                <w:rFonts w:hint="eastAsia" w:ascii="宋体" w:hAnsi="宋体" w:eastAsia="宋体" w:cs="宋体"/>
                <w:spacing w:val="6"/>
                <w:sz w:val="24"/>
                <w:szCs w:val="24"/>
              </w:rPr>
              <w:t>1.按每亩3</w:t>
            </w:r>
            <w:r>
              <w:rPr>
                <w:rFonts w:hint="eastAsia" w:ascii="宋体" w:hAnsi="宋体" w:eastAsia="宋体" w:cs="宋体"/>
                <w:sz w:val="24"/>
                <w:szCs w:val="24"/>
              </w:rPr>
              <w:t>kg</w:t>
            </w:r>
            <w:r>
              <w:rPr>
                <w:rFonts w:hint="eastAsia" w:ascii="宋体" w:hAnsi="宋体" w:eastAsia="宋体" w:cs="宋体"/>
                <w:spacing w:val="6"/>
                <w:sz w:val="24"/>
                <w:szCs w:val="24"/>
              </w:rPr>
              <w:t>计</w:t>
            </w:r>
          </w:p>
        </w:tc>
        <w:tc>
          <w:tcPr>
            <w:tcW w:w="1650" w:type="dxa"/>
            <w:vAlign w:val="top"/>
          </w:tcPr>
          <w:p>
            <w:pPr>
              <w:spacing w:before="53" w:line="225" w:lineRule="auto"/>
              <w:ind w:left="181"/>
              <w:jc w:val="center"/>
              <w:rPr>
                <w:rFonts w:hint="eastAsia" w:ascii="宋体" w:hAnsi="宋体" w:eastAsia="宋体" w:cs="宋体"/>
                <w:sz w:val="24"/>
                <w:szCs w:val="24"/>
              </w:rPr>
            </w:pPr>
            <w:r>
              <w:rPr>
                <w:rFonts w:hint="eastAsia" w:ascii="宋体" w:hAnsi="宋体" w:eastAsia="宋体" w:cs="宋体"/>
                <w:spacing w:val="2"/>
                <w:sz w:val="24"/>
                <w:szCs w:val="24"/>
              </w:rPr>
              <w:t>kg</w:t>
            </w:r>
          </w:p>
        </w:tc>
        <w:tc>
          <w:tcPr>
            <w:tcW w:w="1134" w:type="dxa"/>
            <w:vAlign w:val="top"/>
          </w:tcPr>
          <w:p>
            <w:pPr>
              <w:spacing w:before="83" w:line="189" w:lineRule="auto"/>
              <w:ind w:left="277"/>
              <w:rPr>
                <w:rFonts w:hint="eastAsia" w:ascii="宋体" w:hAnsi="宋体" w:eastAsia="宋体" w:cs="宋体"/>
                <w:sz w:val="24"/>
                <w:szCs w:val="24"/>
              </w:rPr>
            </w:pPr>
            <w:r>
              <w:rPr>
                <w:rFonts w:hint="eastAsia" w:ascii="宋体" w:hAnsi="宋体" w:eastAsia="宋体" w:cs="宋体"/>
                <w:spacing w:val="1"/>
                <w:sz w:val="24"/>
                <w:szCs w:val="24"/>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50" w:type="dxa"/>
            <w:tcBorders>
              <w:left w:val="single" w:color="000000" w:sz="10" w:space="0"/>
            </w:tcBorders>
            <w:vAlign w:val="top"/>
          </w:tcPr>
          <w:p>
            <w:pPr>
              <w:spacing w:before="83" w:line="189" w:lineRule="auto"/>
              <w:ind w:left="372"/>
              <w:rPr>
                <w:rFonts w:hint="eastAsia" w:ascii="宋体" w:hAnsi="宋体" w:eastAsia="宋体" w:cs="宋体"/>
                <w:sz w:val="24"/>
                <w:szCs w:val="24"/>
              </w:rPr>
            </w:pPr>
            <w:r>
              <w:rPr>
                <w:rFonts w:hint="eastAsia" w:ascii="宋体" w:hAnsi="宋体" w:eastAsia="宋体" w:cs="宋体"/>
                <w:sz w:val="24"/>
                <w:szCs w:val="24"/>
              </w:rPr>
              <w:t>6</w:t>
            </w:r>
          </w:p>
        </w:tc>
        <w:tc>
          <w:tcPr>
            <w:tcW w:w="2283" w:type="dxa"/>
            <w:vAlign w:val="top"/>
          </w:tcPr>
          <w:p>
            <w:pPr>
              <w:spacing w:before="53" w:line="230" w:lineRule="auto"/>
              <w:ind w:left="25"/>
              <w:rPr>
                <w:rFonts w:hint="eastAsia" w:ascii="宋体" w:hAnsi="宋体" w:eastAsia="宋体" w:cs="宋体"/>
                <w:sz w:val="24"/>
                <w:szCs w:val="24"/>
              </w:rPr>
            </w:pPr>
            <w:r>
              <w:rPr>
                <w:rFonts w:hint="eastAsia" w:ascii="宋体" w:hAnsi="宋体" w:eastAsia="宋体" w:cs="宋体"/>
                <w:spacing w:val="6"/>
                <w:sz w:val="24"/>
                <w:szCs w:val="24"/>
              </w:rPr>
              <w:t>毒死蜱</w:t>
            </w:r>
          </w:p>
        </w:tc>
        <w:tc>
          <w:tcPr>
            <w:tcW w:w="3633" w:type="dxa"/>
            <w:vAlign w:val="top"/>
          </w:tcPr>
          <w:p>
            <w:pPr>
              <w:spacing w:before="53" w:line="225" w:lineRule="auto"/>
              <w:ind w:left="41"/>
              <w:jc w:val="left"/>
              <w:rPr>
                <w:rFonts w:hint="eastAsia" w:ascii="宋体" w:hAnsi="宋体" w:eastAsia="宋体" w:cs="宋体"/>
                <w:sz w:val="24"/>
                <w:szCs w:val="24"/>
              </w:rPr>
            </w:pPr>
            <w:r>
              <w:rPr>
                <w:rFonts w:hint="eastAsia" w:ascii="宋体" w:hAnsi="宋体" w:eastAsia="宋体" w:cs="宋体"/>
                <w:spacing w:val="5"/>
                <w:sz w:val="24"/>
                <w:szCs w:val="24"/>
              </w:rPr>
              <w:t>1.每亩3</w:t>
            </w:r>
            <w:r>
              <w:rPr>
                <w:rFonts w:hint="eastAsia" w:ascii="宋体" w:hAnsi="宋体" w:eastAsia="宋体" w:cs="宋体"/>
                <w:sz w:val="24"/>
                <w:szCs w:val="24"/>
              </w:rPr>
              <w:t>kg</w:t>
            </w:r>
            <w:r>
              <w:rPr>
                <w:rFonts w:hint="eastAsia" w:ascii="宋体" w:hAnsi="宋体" w:eastAsia="宋体" w:cs="宋体"/>
                <w:spacing w:val="5"/>
                <w:sz w:val="24"/>
                <w:szCs w:val="24"/>
              </w:rPr>
              <w:t>计</w:t>
            </w:r>
          </w:p>
        </w:tc>
        <w:tc>
          <w:tcPr>
            <w:tcW w:w="1650" w:type="dxa"/>
            <w:vAlign w:val="top"/>
          </w:tcPr>
          <w:p>
            <w:pPr>
              <w:spacing w:before="53" w:line="225" w:lineRule="auto"/>
              <w:ind w:left="181"/>
              <w:jc w:val="center"/>
              <w:rPr>
                <w:rFonts w:hint="eastAsia" w:ascii="宋体" w:hAnsi="宋体" w:eastAsia="宋体" w:cs="宋体"/>
                <w:sz w:val="24"/>
                <w:szCs w:val="24"/>
              </w:rPr>
            </w:pPr>
            <w:r>
              <w:rPr>
                <w:rFonts w:hint="eastAsia" w:ascii="宋体" w:hAnsi="宋体" w:eastAsia="宋体" w:cs="宋体"/>
                <w:spacing w:val="2"/>
                <w:sz w:val="24"/>
                <w:szCs w:val="24"/>
              </w:rPr>
              <w:t>kg</w:t>
            </w:r>
          </w:p>
        </w:tc>
        <w:tc>
          <w:tcPr>
            <w:tcW w:w="1134" w:type="dxa"/>
            <w:vAlign w:val="top"/>
          </w:tcPr>
          <w:p>
            <w:pPr>
              <w:spacing w:before="83" w:line="189" w:lineRule="auto"/>
              <w:ind w:left="277"/>
              <w:rPr>
                <w:rFonts w:hint="eastAsia" w:ascii="宋体" w:hAnsi="宋体" w:eastAsia="宋体" w:cs="宋体"/>
                <w:sz w:val="24"/>
                <w:szCs w:val="24"/>
              </w:rPr>
            </w:pPr>
            <w:r>
              <w:rPr>
                <w:rFonts w:hint="eastAsia" w:ascii="宋体" w:hAnsi="宋体" w:eastAsia="宋体" w:cs="宋体"/>
                <w:spacing w:val="1"/>
                <w:sz w:val="24"/>
                <w:szCs w:val="24"/>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9650" w:type="dxa"/>
            <w:gridSpan w:val="5"/>
            <w:tcBorders>
              <w:left w:val="single" w:color="000000" w:sz="10" w:space="0"/>
            </w:tcBorders>
            <w:vAlign w:val="top"/>
          </w:tcPr>
          <w:p>
            <w:pPr>
              <w:pStyle w:val="53"/>
              <w:jc w:val="both"/>
              <w:rPr>
                <w:rFonts w:hint="eastAsia" w:ascii="宋体" w:hAnsi="宋体" w:eastAsia="宋体" w:cs="宋体"/>
                <w:sz w:val="24"/>
                <w:szCs w:val="24"/>
              </w:rPr>
            </w:pPr>
            <w:r>
              <w:rPr>
                <w:rFonts w:hint="eastAsia" w:ascii="宋体" w:hAnsi="宋体" w:eastAsia="宋体" w:cs="宋体"/>
                <w:spacing w:val="6"/>
                <w:sz w:val="24"/>
                <w:szCs w:val="24"/>
              </w:rPr>
              <w:t>种苗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trPr>
        <w:tc>
          <w:tcPr>
            <w:tcW w:w="950" w:type="dxa"/>
            <w:tcBorders>
              <w:left w:val="single" w:color="000000" w:sz="10" w:space="0"/>
            </w:tcBorders>
            <w:vAlign w:val="top"/>
          </w:tcPr>
          <w:p>
            <w:pPr>
              <w:pStyle w:val="53"/>
              <w:spacing w:line="349" w:lineRule="auto"/>
              <w:rPr>
                <w:rFonts w:hint="eastAsia" w:ascii="宋体" w:hAnsi="宋体" w:eastAsia="宋体" w:cs="宋体"/>
                <w:sz w:val="24"/>
                <w:szCs w:val="24"/>
              </w:rPr>
            </w:pPr>
          </w:p>
          <w:p>
            <w:pPr>
              <w:pStyle w:val="53"/>
              <w:spacing w:line="350" w:lineRule="auto"/>
              <w:rPr>
                <w:rFonts w:hint="eastAsia" w:ascii="宋体" w:hAnsi="宋体" w:eastAsia="宋体" w:cs="宋体"/>
                <w:sz w:val="24"/>
                <w:szCs w:val="24"/>
              </w:rPr>
            </w:pPr>
          </w:p>
          <w:p>
            <w:pPr>
              <w:spacing w:before="55" w:line="187" w:lineRule="auto"/>
              <w:ind w:left="375"/>
              <w:rPr>
                <w:rFonts w:hint="eastAsia" w:ascii="宋体" w:hAnsi="宋体" w:eastAsia="宋体" w:cs="宋体"/>
                <w:sz w:val="24"/>
                <w:szCs w:val="24"/>
              </w:rPr>
            </w:pPr>
            <w:r>
              <w:rPr>
                <w:rFonts w:hint="eastAsia" w:ascii="宋体" w:hAnsi="宋体" w:eastAsia="宋体" w:cs="宋体"/>
                <w:sz w:val="24"/>
                <w:szCs w:val="24"/>
              </w:rPr>
              <w:t>7</w:t>
            </w:r>
          </w:p>
        </w:tc>
        <w:tc>
          <w:tcPr>
            <w:tcW w:w="2283" w:type="dxa"/>
            <w:vAlign w:val="top"/>
          </w:tcPr>
          <w:p>
            <w:pPr>
              <w:pStyle w:val="53"/>
              <w:spacing w:line="333" w:lineRule="auto"/>
              <w:rPr>
                <w:rFonts w:hint="eastAsia" w:ascii="宋体" w:hAnsi="宋体" w:eastAsia="宋体" w:cs="宋体"/>
                <w:sz w:val="24"/>
                <w:szCs w:val="24"/>
              </w:rPr>
            </w:pPr>
          </w:p>
          <w:p>
            <w:pPr>
              <w:pStyle w:val="53"/>
              <w:spacing w:line="334" w:lineRule="auto"/>
              <w:rPr>
                <w:rFonts w:hint="eastAsia" w:ascii="宋体" w:hAnsi="宋体" w:eastAsia="宋体" w:cs="宋体"/>
                <w:sz w:val="24"/>
                <w:szCs w:val="24"/>
              </w:rPr>
            </w:pPr>
          </w:p>
          <w:p>
            <w:pPr>
              <w:spacing w:before="55" w:line="230" w:lineRule="auto"/>
              <w:ind w:left="24"/>
              <w:rPr>
                <w:rFonts w:hint="eastAsia" w:ascii="宋体" w:hAnsi="宋体" w:eastAsia="宋体" w:cs="宋体"/>
                <w:sz w:val="24"/>
                <w:szCs w:val="24"/>
              </w:rPr>
            </w:pPr>
            <w:r>
              <w:rPr>
                <w:rFonts w:hint="eastAsia" w:ascii="宋体" w:hAnsi="宋体" w:eastAsia="宋体" w:cs="宋体"/>
                <w:spacing w:val="7"/>
                <w:sz w:val="24"/>
                <w:szCs w:val="24"/>
              </w:rPr>
              <w:t>青海云杉</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1.种类:青海云杉</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3.株高、冠径:高度0.3 -0.5 m，带土球，土球直径15cm～20cm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4.690株/亩，共19.83 亩</w:t>
            </w:r>
          </w:p>
        </w:tc>
        <w:tc>
          <w:tcPr>
            <w:tcW w:w="1650" w:type="dxa"/>
            <w:vAlign w:val="top"/>
          </w:tcPr>
          <w:p>
            <w:pPr>
              <w:pStyle w:val="53"/>
              <w:spacing w:line="333" w:lineRule="auto"/>
              <w:jc w:val="center"/>
              <w:rPr>
                <w:rFonts w:hint="eastAsia" w:ascii="宋体" w:hAnsi="宋体" w:eastAsia="宋体" w:cs="宋体"/>
                <w:sz w:val="24"/>
                <w:szCs w:val="24"/>
              </w:rPr>
            </w:pPr>
          </w:p>
          <w:p>
            <w:pPr>
              <w:pStyle w:val="53"/>
              <w:spacing w:line="334" w:lineRule="auto"/>
              <w:jc w:val="center"/>
              <w:rPr>
                <w:rFonts w:hint="eastAsia" w:ascii="宋体" w:hAnsi="宋体" w:eastAsia="宋体" w:cs="宋体"/>
                <w:sz w:val="24"/>
                <w:szCs w:val="24"/>
              </w:rPr>
            </w:pPr>
          </w:p>
          <w:p>
            <w:pPr>
              <w:spacing w:before="56" w:line="230" w:lineRule="auto"/>
              <w:ind w:left="182"/>
              <w:jc w:val="center"/>
              <w:rPr>
                <w:rFonts w:hint="eastAsia" w:ascii="宋体" w:hAnsi="宋体" w:eastAsia="宋体" w:cs="宋体"/>
                <w:sz w:val="24"/>
                <w:szCs w:val="24"/>
              </w:rPr>
            </w:pPr>
            <w:r>
              <w:rPr>
                <w:rFonts w:hint="eastAsia" w:ascii="宋体" w:hAnsi="宋体" w:eastAsia="宋体" w:cs="宋体"/>
                <w:spacing w:val="2"/>
                <w:sz w:val="24"/>
                <w:szCs w:val="24"/>
              </w:rPr>
              <w:t>株</w:t>
            </w:r>
          </w:p>
        </w:tc>
        <w:tc>
          <w:tcPr>
            <w:tcW w:w="1134" w:type="dxa"/>
            <w:vAlign w:val="top"/>
          </w:tcPr>
          <w:p>
            <w:pPr>
              <w:pStyle w:val="53"/>
              <w:spacing w:line="348" w:lineRule="auto"/>
              <w:rPr>
                <w:rFonts w:hint="eastAsia" w:ascii="宋体" w:hAnsi="宋体" w:eastAsia="宋体" w:cs="宋体"/>
                <w:sz w:val="24"/>
                <w:szCs w:val="24"/>
              </w:rPr>
            </w:pPr>
          </w:p>
          <w:p>
            <w:pPr>
              <w:pStyle w:val="53"/>
              <w:spacing w:line="349" w:lineRule="auto"/>
              <w:rPr>
                <w:rFonts w:hint="eastAsia" w:ascii="宋体" w:hAnsi="宋体" w:eastAsia="宋体" w:cs="宋体"/>
                <w:sz w:val="24"/>
                <w:szCs w:val="24"/>
              </w:rPr>
            </w:pPr>
          </w:p>
          <w:p>
            <w:pPr>
              <w:spacing w:before="55" w:line="189" w:lineRule="auto"/>
              <w:ind w:left="197"/>
              <w:rPr>
                <w:rFonts w:hint="eastAsia" w:ascii="宋体" w:hAnsi="宋体" w:eastAsia="宋体" w:cs="宋体"/>
                <w:sz w:val="24"/>
                <w:szCs w:val="24"/>
              </w:rPr>
            </w:pPr>
            <w:r>
              <w:rPr>
                <w:rFonts w:hint="eastAsia" w:ascii="宋体" w:hAnsi="宋体" w:eastAsia="宋体" w:cs="宋体"/>
                <w:sz w:val="24"/>
                <w:szCs w:val="24"/>
              </w:rPr>
              <w:t>13700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950" w:type="dxa"/>
            <w:tcBorders>
              <w:left w:val="single" w:color="000000" w:sz="10" w:space="0"/>
            </w:tcBorders>
            <w:vAlign w:val="top"/>
          </w:tcPr>
          <w:p>
            <w:pPr>
              <w:pStyle w:val="53"/>
              <w:spacing w:line="296" w:lineRule="auto"/>
              <w:rPr>
                <w:rFonts w:hint="eastAsia" w:ascii="宋体" w:hAnsi="宋体" w:eastAsia="宋体" w:cs="宋体"/>
                <w:sz w:val="24"/>
                <w:szCs w:val="24"/>
              </w:rPr>
            </w:pPr>
          </w:p>
          <w:p>
            <w:pPr>
              <w:pStyle w:val="53"/>
              <w:spacing w:line="297" w:lineRule="auto"/>
              <w:rPr>
                <w:rFonts w:hint="eastAsia" w:ascii="宋体" w:hAnsi="宋体" w:eastAsia="宋体" w:cs="宋体"/>
                <w:sz w:val="24"/>
                <w:szCs w:val="24"/>
              </w:rPr>
            </w:pPr>
          </w:p>
          <w:p>
            <w:pPr>
              <w:spacing w:before="56" w:line="189" w:lineRule="auto"/>
              <w:ind w:left="372"/>
              <w:rPr>
                <w:rFonts w:hint="eastAsia" w:ascii="宋体" w:hAnsi="宋体" w:eastAsia="宋体" w:cs="宋体"/>
                <w:sz w:val="24"/>
                <w:szCs w:val="24"/>
              </w:rPr>
            </w:pPr>
            <w:r>
              <w:rPr>
                <w:rFonts w:hint="eastAsia" w:ascii="宋体" w:hAnsi="宋体" w:eastAsia="宋体" w:cs="宋体"/>
                <w:sz w:val="24"/>
                <w:szCs w:val="24"/>
              </w:rPr>
              <w:t>8</w:t>
            </w:r>
          </w:p>
        </w:tc>
        <w:tc>
          <w:tcPr>
            <w:tcW w:w="2283" w:type="dxa"/>
            <w:vAlign w:val="top"/>
          </w:tcPr>
          <w:p>
            <w:pPr>
              <w:pStyle w:val="53"/>
              <w:spacing w:line="282" w:lineRule="auto"/>
              <w:rPr>
                <w:rFonts w:hint="eastAsia" w:ascii="宋体" w:hAnsi="宋体" w:eastAsia="宋体" w:cs="宋体"/>
                <w:sz w:val="24"/>
                <w:szCs w:val="24"/>
              </w:rPr>
            </w:pPr>
          </w:p>
          <w:p>
            <w:pPr>
              <w:pStyle w:val="53"/>
              <w:spacing w:line="282" w:lineRule="auto"/>
              <w:rPr>
                <w:rFonts w:hint="eastAsia" w:ascii="宋体" w:hAnsi="宋体" w:eastAsia="宋体" w:cs="宋体"/>
                <w:sz w:val="24"/>
                <w:szCs w:val="24"/>
              </w:rPr>
            </w:pPr>
          </w:p>
          <w:p>
            <w:pPr>
              <w:spacing w:before="55" w:line="230" w:lineRule="auto"/>
              <w:ind w:left="27"/>
              <w:rPr>
                <w:rFonts w:hint="eastAsia" w:ascii="宋体" w:hAnsi="宋体" w:eastAsia="宋体" w:cs="宋体"/>
                <w:sz w:val="24"/>
                <w:szCs w:val="24"/>
              </w:rPr>
            </w:pPr>
            <w:r>
              <w:rPr>
                <w:rFonts w:hint="eastAsia" w:ascii="宋体" w:hAnsi="宋体" w:eastAsia="宋体" w:cs="宋体"/>
                <w:spacing w:val="7"/>
                <w:sz w:val="24"/>
                <w:szCs w:val="24"/>
              </w:rPr>
              <w:t>祁连圆柏</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1.种类:祁连圆柏</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3.株高、冠径:高度0.3 -0.5m，带土球，土球  直径15cm～20cm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4.690株/亩， 20.15亩</w:t>
            </w:r>
          </w:p>
        </w:tc>
        <w:tc>
          <w:tcPr>
            <w:tcW w:w="1650" w:type="dxa"/>
            <w:vAlign w:val="top"/>
          </w:tcPr>
          <w:p>
            <w:pPr>
              <w:pStyle w:val="53"/>
              <w:spacing w:line="282" w:lineRule="auto"/>
              <w:jc w:val="center"/>
              <w:rPr>
                <w:rFonts w:hint="eastAsia" w:ascii="宋体" w:hAnsi="宋体" w:eastAsia="宋体" w:cs="宋体"/>
                <w:sz w:val="24"/>
                <w:szCs w:val="24"/>
              </w:rPr>
            </w:pPr>
          </w:p>
          <w:p>
            <w:pPr>
              <w:pStyle w:val="53"/>
              <w:spacing w:line="282" w:lineRule="auto"/>
              <w:jc w:val="center"/>
              <w:rPr>
                <w:rFonts w:hint="eastAsia" w:ascii="宋体" w:hAnsi="宋体" w:eastAsia="宋体" w:cs="宋体"/>
                <w:sz w:val="24"/>
                <w:szCs w:val="24"/>
              </w:rPr>
            </w:pPr>
          </w:p>
          <w:p>
            <w:pPr>
              <w:spacing w:before="55" w:line="230" w:lineRule="auto"/>
              <w:ind w:left="182"/>
              <w:jc w:val="center"/>
              <w:rPr>
                <w:rFonts w:hint="eastAsia" w:ascii="宋体" w:hAnsi="宋体" w:eastAsia="宋体" w:cs="宋体"/>
                <w:sz w:val="24"/>
                <w:szCs w:val="24"/>
              </w:rPr>
            </w:pPr>
            <w:r>
              <w:rPr>
                <w:rFonts w:hint="eastAsia" w:ascii="宋体" w:hAnsi="宋体" w:eastAsia="宋体" w:cs="宋体"/>
                <w:spacing w:val="2"/>
                <w:sz w:val="24"/>
                <w:szCs w:val="24"/>
              </w:rPr>
              <w:t>株</w:t>
            </w:r>
          </w:p>
        </w:tc>
        <w:tc>
          <w:tcPr>
            <w:tcW w:w="1134" w:type="dxa"/>
            <w:vAlign w:val="top"/>
          </w:tcPr>
          <w:p>
            <w:pPr>
              <w:pStyle w:val="53"/>
              <w:spacing w:line="296" w:lineRule="auto"/>
              <w:rPr>
                <w:rFonts w:hint="eastAsia" w:ascii="宋体" w:hAnsi="宋体" w:eastAsia="宋体" w:cs="宋体"/>
                <w:sz w:val="24"/>
                <w:szCs w:val="24"/>
              </w:rPr>
            </w:pPr>
          </w:p>
          <w:p>
            <w:pPr>
              <w:pStyle w:val="53"/>
              <w:spacing w:line="297" w:lineRule="auto"/>
              <w:rPr>
                <w:rFonts w:hint="eastAsia" w:ascii="宋体" w:hAnsi="宋体" w:eastAsia="宋体" w:cs="宋体"/>
                <w:sz w:val="24"/>
                <w:szCs w:val="24"/>
              </w:rPr>
            </w:pPr>
          </w:p>
          <w:p>
            <w:pPr>
              <w:spacing w:before="56" w:line="189" w:lineRule="auto"/>
              <w:ind w:left="197"/>
              <w:rPr>
                <w:rFonts w:hint="eastAsia" w:ascii="宋体" w:hAnsi="宋体" w:eastAsia="宋体" w:cs="宋体"/>
                <w:sz w:val="24"/>
                <w:szCs w:val="24"/>
              </w:rPr>
            </w:pPr>
            <w:r>
              <w:rPr>
                <w:rFonts w:hint="eastAsia" w:ascii="宋体" w:hAnsi="宋体" w:eastAsia="宋体" w:cs="宋体"/>
                <w:sz w:val="24"/>
                <w:szCs w:val="24"/>
              </w:rPr>
              <w:t>13900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8" w:hRule="atLeast"/>
        </w:trPr>
        <w:tc>
          <w:tcPr>
            <w:tcW w:w="950" w:type="dxa"/>
            <w:tcBorders>
              <w:left w:val="single" w:color="000000" w:sz="10" w:space="0"/>
            </w:tcBorders>
            <w:vAlign w:val="top"/>
          </w:tcPr>
          <w:p>
            <w:pPr>
              <w:pStyle w:val="53"/>
              <w:spacing w:line="272" w:lineRule="auto"/>
              <w:rPr>
                <w:rFonts w:hint="eastAsia" w:ascii="宋体" w:hAnsi="宋体" w:eastAsia="宋体" w:cs="宋体"/>
                <w:sz w:val="24"/>
                <w:szCs w:val="24"/>
              </w:rPr>
            </w:pPr>
          </w:p>
          <w:p>
            <w:pPr>
              <w:pStyle w:val="53"/>
              <w:spacing w:line="272" w:lineRule="auto"/>
              <w:rPr>
                <w:rFonts w:hint="eastAsia" w:ascii="宋体" w:hAnsi="宋体" w:eastAsia="宋体" w:cs="宋体"/>
                <w:sz w:val="24"/>
                <w:szCs w:val="24"/>
              </w:rPr>
            </w:pPr>
          </w:p>
          <w:p>
            <w:pPr>
              <w:pStyle w:val="53"/>
              <w:spacing w:line="273" w:lineRule="auto"/>
              <w:rPr>
                <w:rFonts w:hint="eastAsia" w:ascii="宋体" w:hAnsi="宋体" w:eastAsia="宋体" w:cs="宋体"/>
                <w:sz w:val="24"/>
                <w:szCs w:val="24"/>
              </w:rPr>
            </w:pPr>
          </w:p>
          <w:p>
            <w:pPr>
              <w:spacing w:before="56" w:line="189" w:lineRule="auto"/>
              <w:ind w:left="372"/>
              <w:rPr>
                <w:rFonts w:hint="eastAsia" w:ascii="宋体" w:hAnsi="宋体" w:eastAsia="宋体" w:cs="宋体"/>
                <w:sz w:val="24"/>
                <w:szCs w:val="24"/>
              </w:rPr>
            </w:pPr>
            <w:r>
              <w:rPr>
                <w:rFonts w:hint="eastAsia" w:ascii="宋体" w:hAnsi="宋体" w:eastAsia="宋体" w:cs="宋体"/>
                <w:sz w:val="24"/>
                <w:szCs w:val="24"/>
              </w:rPr>
              <w:t>9</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p>
          <w:p>
            <w:pPr>
              <w:pStyle w:val="53"/>
              <w:spacing w:line="263" w:lineRule="auto"/>
              <w:rPr>
                <w:rFonts w:hint="eastAsia" w:ascii="宋体" w:hAnsi="宋体" w:eastAsia="宋体" w:cs="宋体"/>
                <w:sz w:val="24"/>
                <w:szCs w:val="24"/>
              </w:rPr>
            </w:pPr>
          </w:p>
          <w:p>
            <w:pPr>
              <w:spacing w:before="56" w:line="230" w:lineRule="auto"/>
              <w:ind w:left="24"/>
              <w:rPr>
                <w:rFonts w:hint="eastAsia" w:ascii="宋体" w:hAnsi="宋体" w:eastAsia="宋体" w:cs="宋体"/>
                <w:sz w:val="24"/>
                <w:szCs w:val="24"/>
              </w:rPr>
            </w:pPr>
            <w:r>
              <w:rPr>
                <w:rFonts w:hint="eastAsia" w:ascii="宋体" w:hAnsi="宋体" w:eastAsia="宋体" w:cs="宋体"/>
                <w:spacing w:val="7"/>
                <w:sz w:val="24"/>
                <w:szCs w:val="24"/>
              </w:rPr>
              <w:t>青杨雄株</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1.种类:青杨雄株</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3.株高、冠径:插穗15 ~20cm长，要求确保3 ~4个饱满芽。插穗直径在10～12mm，最小不应细于8mm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4.4445条/亩， 20亩</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3" w:lineRule="auto"/>
              <w:jc w:val="center"/>
              <w:rPr>
                <w:rFonts w:hint="eastAsia" w:ascii="宋体" w:hAnsi="宋体" w:eastAsia="宋体" w:cs="宋体"/>
                <w:sz w:val="24"/>
                <w:szCs w:val="24"/>
              </w:rPr>
            </w:pPr>
          </w:p>
          <w:p>
            <w:pPr>
              <w:pStyle w:val="53"/>
              <w:spacing w:line="263" w:lineRule="auto"/>
              <w:jc w:val="center"/>
              <w:rPr>
                <w:rFonts w:hint="eastAsia" w:ascii="宋体" w:hAnsi="宋体" w:eastAsia="宋体" w:cs="宋体"/>
                <w:sz w:val="24"/>
                <w:szCs w:val="24"/>
              </w:rPr>
            </w:pPr>
          </w:p>
          <w:p>
            <w:pPr>
              <w:spacing w:before="55" w:line="230" w:lineRule="auto"/>
              <w:ind w:left="182"/>
              <w:jc w:val="center"/>
              <w:rPr>
                <w:rFonts w:hint="eastAsia" w:ascii="宋体" w:hAnsi="宋体" w:eastAsia="宋体" w:cs="宋体"/>
                <w:sz w:val="24"/>
                <w:szCs w:val="24"/>
              </w:rPr>
            </w:pPr>
            <w:r>
              <w:rPr>
                <w:rFonts w:hint="eastAsia" w:ascii="宋体" w:hAnsi="宋体" w:eastAsia="宋体" w:cs="宋体"/>
                <w:spacing w:val="2"/>
                <w:sz w:val="24"/>
                <w:szCs w:val="24"/>
              </w:rPr>
              <w:t>株</w:t>
            </w:r>
          </w:p>
        </w:tc>
        <w:tc>
          <w:tcPr>
            <w:tcW w:w="1134" w:type="dxa"/>
            <w:vAlign w:val="top"/>
          </w:tcPr>
          <w:p>
            <w:pPr>
              <w:pStyle w:val="53"/>
              <w:spacing w:line="272" w:lineRule="auto"/>
              <w:rPr>
                <w:rFonts w:hint="eastAsia" w:ascii="宋体" w:hAnsi="宋体" w:eastAsia="宋体" w:cs="宋体"/>
                <w:sz w:val="24"/>
                <w:szCs w:val="24"/>
              </w:rPr>
            </w:pPr>
          </w:p>
          <w:p>
            <w:pPr>
              <w:pStyle w:val="53"/>
              <w:spacing w:line="272" w:lineRule="auto"/>
              <w:rPr>
                <w:rFonts w:hint="eastAsia" w:ascii="宋体" w:hAnsi="宋体" w:eastAsia="宋体" w:cs="宋体"/>
                <w:sz w:val="24"/>
                <w:szCs w:val="24"/>
              </w:rPr>
            </w:pPr>
          </w:p>
          <w:p>
            <w:pPr>
              <w:pStyle w:val="53"/>
              <w:spacing w:line="273" w:lineRule="auto"/>
              <w:rPr>
                <w:rFonts w:hint="eastAsia" w:ascii="宋体" w:hAnsi="宋体" w:eastAsia="宋体" w:cs="宋体"/>
                <w:sz w:val="24"/>
                <w:szCs w:val="24"/>
              </w:rPr>
            </w:pPr>
          </w:p>
          <w:p>
            <w:pPr>
              <w:spacing w:before="56" w:line="189" w:lineRule="auto"/>
              <w:ind w:left="184"/>
              <w:rPr>
                <w:rFonts w:hint="eastAsia" w:ascii="宋体" w:hAnsi="宋体" w:eastAsia="宋体" w:cs="宋体"/>
                <w:sz w:val="24"/>
                <w:szCs w:val="24"/>
              </w:rPr>
            </w:pPr>
            <w:r>
              <w:rPr>
                <w:rFonts w:hint="eastAsia" w:ascii="宋体" w:hAnsi="宋体" w:eastAsia="宋体" w:cs="宋体"/>
                <w:spacing w:val="3"/>
                <w:sz w:val="24"/>
                <w:szCs w:val="24"/>
              </w:rPr>
              <w:t>88900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950" w:type="dxa"/>
            <w:tcBorders>
              <w:left w:val="single" w:color="000000" w:sz="10" w:space="0"/>
            </w:tcBorders>
            <w:vAlign w:val="top"/>
          </w:tcPr>
          <w:p>
            <w:pPr>
              <w:pStyle w:val="53"/>
              <w:spacing w:line="297" w:lineRule="auto"/>
              <w:rPr>
                <w:rFonts w:hint="eastAsia" w:ascii="宋体" w:hAnsi="宋体" w:eastAsia="宋体" w:cs="宋体"/>
                <w:sz w:val="24"/>
                <w:szCs w:val="24"/>
              </w:rPr>
            </w:pPr>
          </w:p>
          <w:p>
            <w:pPr>
              <w:pStyle w:val="53"/>
              <w:spacing w:line="298" w:lineRule="auto"/>
              <w:rPr>
                <w:rFonts w:hint="eastAsia" w:ascii="宋体" w:hAnsi="宋体" w:eastAsia="宋体" w:cs="宋体"/>
                <w:sz w:val="24"/>
                <w:szCs w:val="24"/>
              </w:rPr>
            </w:pPr>
          </w:p>
          <w:p>
            <w:pPr>
              <w:spacing w:before="55" w:line="189" w:lineRule="auto"/>
              <w:ind w:left="339"/>
              <w:rPr>
                <w:rFonts w:hint="eastAsia" w:ascii="宋体" w:hAnsi="宋体" w:eastAsia="宋体" w:cs="宋体"/>
                <w:sz w:val="24"/>
                <w:szCs w:val="24"/>
              </w:rPr>
            </w:pPr>
            <w:r>
              <w:rPr>
                <w:rFonts w:hint="eastAsia" w:ascii="宋体" w:hAnsi="宋体" w:eastAsia="宋体" w:cs="宋体"/>
                <w:spacing w:val="-3"/>
                <w:sz w:val="24"/>
                <w:szCs w:val="24"/>
              </w:rPr>
              <w:t>10</w:t>
            </w:r>
          </w:p>
        </w:tc>
        <w:tc>
          <w:tcPr>
            <w:tcW w:w="2283" w:type="dxa"/>
            <w:vAlign w:val="top"/>
          </w:tcPr>
          <w:p>
            <w:pPr>
              <w:pStyle w:val="53"/>
              <w:spacing w:line="282" w:lineRule="auto"/>
              <w:rPr>
                <w:rFonts w:hint="eastAsia" w:ascii="宋体" w:hAnsi="宋体" w:eastAsia="宋体" w:cs="宋体"/>
                <w:sz w:val="24"/>
                <w:szCs w:val="24"/>
              </w:rPr>
            </w:pPr>
          </w:p>
          <w:p>
            <w:pPr>
              <w:pStyle w:val="53"/>
              <w:spacing w:line="283" w:lineRule="auto"/>
              <w:rPr>
                <w:rFonts w:hint="eastAsia" w:ascii="宋体" w:hAnsi="宋体" w:eastAsia="宋体" w:cs="宋体"/>
                <w:sz w:val="24"/>
                <w:szCs w:val="24"/>
              </w:rPr>
            </w:pPr>
          </w:p>
          <w:p>
            <w:pPr>
              <w:spacing w:before="55" w:line="230" w:lineRule="auto"/>
              <w:ind w:left="24"/>
              <w:rPr>
                <w:rFonts w:hint="eastAsia" w:ascii="宋体" w:hAnsi="宋体" w:eastAsia="宋体" w:cs="宋体"/>
                <w:sz w:val="24"/>
                <w:szCs w:val="24"/>
              </w:rPr>
            </w:pPr>
            <w:r>
              <w:rPr>
                <w:rFonts w:hint="eastAsia" w:ascii="宋体" w:hAnsi="宋体" w:eastAsia="宋体" w:cs="宋体"/>
                <w:spacing w:val="7"/>
                <w:sz w:val="24"/>
                <w:szCs w:val="24"/>
              </w:rPr>
              <w:t>暴马丁香</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1.种类:暴马丁香</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2.胸径或干径:胸径2cm ~3cm，带土球，土球直径30cm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4.290株/亩， 30亩</w:t>
            </w:r>
          </w:p>
        </w:tc>
        <w:tc>
          <w:tcPr>
            <w:tcW w:w="1650" w:type="dxa"/>
            <w:vAlign w:val="top"/>
          </w:tcPr>
          <w:p>
            <w:pPr>
              <w:pStyle w:val="53"/>
              <w:spacing w:line="282" w:lineRule="auto"/>
              <w:jc w:val="center"/>
              <w:rPr>
                <w:rFonts w:hint="eastAsia" w:ascii="宋体" w:hAnsi="宋体" w:eastAsia="宋体" w:cs="宋体"/>
                <w:sz w:val="24"/>
                <w:szCs w:val="24"/>
              </w:rPr>
            </w:pPr>
          </w:p>
          <w:p>
            <w:pPr>
              <w:pStyle w:val="53"/>
              <w:spacing w:line="283" w:lineRule="auto"/>
              <w:jc w:val="center"/>
              <w:rPr>
                <w:rFonts w:hint="eastAsia" w:ascii="宋体" w:hAnsi="宋体" w:eastAsia="宋体" w:cs="宋体"/>
                <w:sz w:val="24"/>
                <w:szCs w:val="24"/>
              </w:rPr>
            </w:pPr>
          </w:p>
          <w:p>
            <w:pPr>
              <w:spacing w:before="56" w:line="230" w:lineRule="auto"/>
              <w:ind w:left="182"/>
              <w:jc w:val="center"/>
              <w:rPr>
                <w:rFonts w:hint="eastAsia" w:ascii="宋体" w:hAnsi="宋体" w:eastAsia="宋体" w:cs="宋体"/>
                <w:sz w:val="24"/>
                <w:szCs w:val="24"/>
              </w:rPr>
            </w:pPr>
            <w:r>
              <w:rPr>
                <w:rFonts w:hint="eastAsia" w:ascii="宋体" w:hAnsi="宋体" w:eastAsia="宋体" w:cs="宋体"/>
                <w:spacing w:val="2"/>
                <w:sz w:val="24"/>
                <w:szCs w:val="24"/>
              </w:rPr>
              <w:t>株</w:t>
            </w:r>
          </w:p>
        </w:tc>
        <w:tc>
          <w:tcPr>
            <w:tcW w:w="1134" w:type="dxa"/>
            <w:vAlign w:val="top"/>
          </w:tcPr>
          <w:p>
            <w:pPr>
              <w:pStyle w:val="53"/>
              <w:spacing w:line="297" w:lineRule="auto"/>
              <w:rPr>
                <w:rFonts w:hint="eastAsia" w:ascii="宋体" w:hAnsi="宋体" w:eastAsia="宋体" w:cs="宋体"/>
                <w:sz w:val="24"/>
                <w:szCs w:val="24"/>
              </w:rPr>
            </w:pPr>
          </w:p>
          <w:p>
            <w:pPr>
              <w:pStyle w:val="53"/>
              <w:spacing w:line="298" w:lineRule="auto"/>
              <w:rPr>
                <w:rFonts w:hint="eastAsia" w:ascii="宋体" w:hAnsi="宋体" w:eastAsia="宋体" w:cs="宋体"/>
                <w:sz w:val="24"/>
                <w:szCs w:val="24"/>
              </w:rPr>
            </w:pPr>
          </w:p>
          <w:p>
            <w:pPr>
              <w:spacing w:before="55" w:line="189" w:lineRule="auto"/>
              <w:ind w:left="229"/>
              <w:rPr>
                <w:rFonts w:hint="eastAsia" w:ascii="宋体" w:hAnsi="宋体" w:eastAsia="宋体" w:cs="宋体"/>
                <w:sz w:val="24"/>
                <w:szCs w:val="24"/>
              </w:rPr>
            </w:pPr>
            <w:r>
              <w:rPr>
                <w:rFonts w:hint="eastAsia" w:ascii="宋体" w:hAnsi="宋体" w:eastAsia="宋体" w:cs="宋体"/>
                <w:spacing w:val="2"/>
                <w:sz w:val="24"/>
                <w:szCs w:val="24"/>
              </w:rPr>
              <w:t>8700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83" w:lineRule="auto"/>
              <w:rPr>
                <w:rFonts w:hint="eastAsia" w:ascii="宋体" w:hAnsi="宋体" w:eastAsia="宋体" w:cs="宋体"/>
                <w:sz w:val="24"/>
                <w:szCs w:val="24"/>
              </w:rPr>
            </w:pPr>
          </w:p>
          <w:p>
            <w:pPr>
              <w:spacing w:before="55" w:line="189" w:lineRule="auto"/>
              <w:ind w:left="339"/>
              <w:rPr>
                <w:rFonts w:hint="eastAsia" w:ascii="宋体" w:hAnsi="宋体" w:eastAsia="宋体" w:cs="宋体"/>
                <w:sz w:val="24"/>
                <w:szCs w:val="24"/>
              </w:rPr>
            </w:pPr>
            <w:r>
              <w:rPr>
                <w:rFonts w:hint="eastAsia" w:ascii="宋体" w:hAnsi="宋体" w:eastAsia="宋体" w:cs="宋体"/>
                <w:spacing w:val="-3"/>
                <w:sz w:val="24"/>
                <w:szCs w:val="24"/>
              </w:rPr>
              <w:t>11</w:t>
            </w:r>
          </w:p>
        </w:tc>
        <w:tc>
          <w:tcPr>
            <w:tcW w:w="2283" w:type="dxa"/>
            <w:vAlign w:val="top"/>
          </w:tcPr>
          <w:p>
            <w:pPr>
              <w:pStyle w:val="53"/>
              <w:spacing w:line="253" w:lineRule="auto"/>
              <w:rPr>
                <w:rFonts w:hint="eastAsia" w:ascii="宋体" w:hAnsi="宋体" w:eastAsia="宋体" w:cs="宋体"/>
                <w:sz w:val="24"/>
                <w:szCs w:val="24"/>
              </w:rPr>
            </w:pPr>
          </w:p>
          <w:p>
            <w:pPr>
              <w:spacing w:before="56" w:line="230" w:lineRule="auto"/>
              <w:ind w:left="28"/>
              <w:rPr>
                <w:rFonts w:hint="eastAsia" w:ascii="宋体" w:hAnsi="宋体" w:eastAsia="宋体" w:cs="宋体"/>
                <w:sz w:val="24"/>
                <w:szCs w:val="24"/>
              </w:rPr>
            </w:pPr>
            <w:r>
              <w:rPr>
                <w:rFonts w:hint="eastAsia" w:ascii="宋体" w:hAnsi="宋体" w:eastAsia="宋体" w:cs="宋体"/>
                <w:spacing w:val="6"/>
                <w:sz w:val="24"/>
                <w:szCs w:val="24"/>
              </w:rPr>
              <w:t>紫叶稠李</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1.种类:紫叶稠李</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2.胸径或干径:胸径2cm ~3cm，带土球，土球直径30cm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4.290株/亩， 15.02亩</w:t>
            </w:r>
          </w:p>
        </w:tc>
        <w:tc>
          <w:tcPr>
            <w:tcW w:w="1650" w:type="dxa"/>
            <w:vAlign w:val="top"/>
          </w:tcPr>
          <w:p>
            <w:pPr>
              <w:pStyle w:val="53"/>
              <w:spacing w:line="253" w:lineRule="auto"/>
              <w:jc w:val="center"/>
              <w:rPr>
                <w:rFonts w:hint="eastAsia" w:ascii="宋体" w:hAnsi="宋体" w:eastAsia="宋体" w:cs="宋体"/>
                <w:sz w:val="24"/>
                <w:szCs w:val="24"/>
              </w:rPr>
            </w:pPr>
          </w:p>
          <w:p>
            <w:pPr>
              <w:spacing w:before="56" w:line="230" w:lineRule="auto"/>
              <w:ind w:left="182"/>
              <w:jc w:val="center"/>
              <w:rPr>
                <w:rFonts w:hint="eastAsia" w:ascii="宋体" w:hAnsi="宋体" w:eastAsia="宋体" w:cs="宋体"/>
                <w:sz w:val="24"/>
                <w:szCs w:val="24"/>
              </w:rPr>
            </w:pPr>
            <w:r>
              <w:rPr>
                <w:rFonts w:hint="eastAsia" w:ascii="宋体" w:hAnsi="宋体" w:eastAsia="宋体" w:cs="宋体"/>
                <w:spacing w:val="2"/>
                <w:sz w:val="24"/>
                <w:szCs w:val="24"/>
              </w:rPr>
              <w:t>株</w:t>
            </w:r>
          </w:p>
        </w:tc>
        <w:tc>
          <w:tcPr>
            <w:tcW w:w="1134" w:type="dxa"/>
            <w:vAlign w:val="top"/>
          </w:tcPr>
          <w:p>
            <w:pPr>
              <w:pStyle w:val="53"/>
              <w:spacing w:line="283" w:lineRule="auto"/>
              <w:rPr>
                <w:rFonts w:hint="eastAsia" w:ascii="宋体" w:hAnsi="宋体" w:eastAsia="宋体" w:cs="宋体"/>
                <w:sz w:val="24"/>
                <w:szCs w:val="24"/>
              </w:rPr>
            </w:pPr>
          </w:p>
          <w:p>
            <w:pPr>
              <w:spacing w:before="55" w:line="189" w:lineRule="auto"/>
              <w:ind w:left="227"/>
              <w:rPr>
                <w:rFonts w:hint="eastAsia" w:ascii="宋体" w:hAnsi="宋体" w:eastAsia="宋体" w:cs="宋体"/>
                <w:sz w:val="24"/>
                <w:szCs w:val="24"/>
              </w:rPr>
            </w:pPr>
            <w:r>
              <w:rPr>
                <w:rFonts w:hint="eastAsia" w:ascii="宋体" w:hAnsi="宋体" w:eastAsia="宋体" w:cs="宋体"/>
                <w:spacing w:val="3"/>
                <w:sz w:val="24"/>
                <w:szCs w:val="24"/>
              </w:rPr>
              <w:t>4350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沙棘</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1.种类:沙棘</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3.株高、冠径:高度1.0 m～1.5m,冠幅0.5～0.8 m，裸根苗</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4.660株/亩， 10亩</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株</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6600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柽柳</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1.种类:柽柳</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2.含运费</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3.株高、冠径:插穗长度20cm，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小头直径≥0. 5cm</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4.16680条/亩， 5亩</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株</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83400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650" w:type="dxa"/>
            <w:gridSpan w:val="5"/>
            <w:tcBorders>
              <w:left w:val="single" w:color="000000" w:sz="10" w:space="0"/>
            </w:tcBorders>
            <w:vAlign w:val="top"/>
          </w:tcPr>
          <w:p>
            <w:pPr>
              <w:pStyle w:val="53"/>
              <w:spacing w:line="262" w:lineRule="auto"/>
              <w:jc w:val="left"/>
              <w:rPr>
                <w:rFonts w:hint="eastAsia" w:ascii="宋体" w:hAnsi="宋体" w:eastAsia="宋体" w:cs="宋体"/>
                <w:sz w:val="24"/>
                <w:szCs w:val="24"/>
              </w:rPr>
            </w:pPr>
            <w:r>
              <w:rPr>
                <w:rFonts w:hint="eastAsia" w:ascii="宋体" w:hAnsi="宋体" w:eastAsia="宋体" w:cs="宋体"/>
                <w:sz w:val="24"/>
                <w:szCs w:val="24"/>
              </w:rPr>
              <w:t>灌溉设施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喷灌管线安装</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1.管道品种、规格:PE 管</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2.管件品种、规格:DN1 00</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 xml:space="preserve">3.管道固定方式:埋地  </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4.含土方挖填综合考虑</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m</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喷灌管线安装</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1.管道品种、规格:PE 管</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2.管件品种、规格:DN6 3</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 xml:space="preserve">3.管道固定方式:埋地  </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4.含土方挖填综合考虑</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m</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228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砖检查井</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1.砖砌灌溉给水井，直径1000mm,深度按现场实际要求施工</w:t>
            </w:r>
          </w:p>
        </w:tc>
        <w:tc>
          <w:tcPr>
            <w:tcW w:w="1650"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座</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2283" w:type="dxa"/>
            <w:vAlign w:val="top"/>
          </w:tcPr>
          <w:p>
            <w:pPr>
              <w:pStyle w:val="53"/>
              <w:spacing w:line="262" w:lineRule="auto"/>
              <w:rPr>
                <w:rFonts w:hint="eastAsia" w:ascii="宋体" w:hAnsi="宋体" w:eastAsia="宋体" w:cs="宋体"/>
                <w:sz w:val="24"/>
                <w:szCs w:val="24"/>
              </w:rPr>
            </w:pP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喷灌配件安装</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1.管道附件、阀门、喷头品种、规格:喷头</w:t>
            </w:r>
          </w:p>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2.管道附件、阀门、喷 头固定方式:换向摇臂式</w:t>
            </w:r>
          </w:p>
        </w:tc>
        <w:tc>
          <w:tcPr>
            <w:tcW w:w="1650"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134" w:type="dxa"/>
            <w:vAlign w:val="top"/>
          </w:tcPr>
          <w:p>
            <w:pPr>
              <w:pStyle w:val="53"/>
              <w:spacing w:line="262" w:lineRule="auto"/>
              <w:jc w:val="center"/>
              <w:rPr>
                <w:rFonts w:hint="eastAsia" w:ascii="宋体" w:hAnsi="宋体" w:eastAsia="宋体" w:cs="宋体"/>
                <w:sz w:val="24"/>
                <w:szCs w:val="24"/>
              </w:rPr>
            </w:pPr>
          </w:p>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228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搭设遮阴(防寒）棚</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1.搭设高度:按实际要求搭设</w:t>
            </w:r>
          </w:p>
        </w:tc>
        <w:tc>
          <w:tcPr>
            <w:tcW w:w="1650"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m2</w:t>
            </w:r>
          </w:p>
        </w:tc>
        <w:tc>
          <w:tcPr>
            <w:tcW w:w="1134"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228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地膜</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1.材质、规格:地膜</w:t>
            </w:r>
          </w:p>
        </w:tc>
        <w:tc>
          <w:tcPr>
            <w:tcW w:w="1650"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卷</w:t>
            </w:r>
          </w:p>
        </w:tc>
        <w:tc>
          <w:tcPr>
            <w:tcW w:w="1134"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650" w:type="dxa"/>
            <w:gridSpan w:val="5"/>
            <w:tcBorders>
              <w:left w:val="single" w:color="000000" w:sz="10" w:space="0"/>
            </w:tcBorders>
            <w:vAlign w:val="top"/>
          </w:tcPr>
          <w:p>
            <w:pPr>
              <w:pStyle w:val="53"/>
              <w:spacing w:line="262" w:lineRule="auto"/>
              <w:jc w:val="both"/>
              <w:rPr>
                <w:rFonts w:hint="eastAsia" w:ascii="宋体" w:hAnsi="宋体" w:eastAsia="宋体" w:cs="宋体"/>
                <w:sz w:val="24"/>
                <w:szCs w:val="24"/>
              </w:rPr>
            </w:pPr>
            <w:r>
              <w:rPr>
                <w:rFonts w:hint="eastAsia" w:ascii="宋体" w:hAnsi="宋体" w:eastAsia="宋体" w:cs="宋体"/>
                <w:sz w:val="24"/>
                <w:szCs w:val="24"/>
              </w:rPr>
              <w:t>抚育管护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0" w:type="dxa"/>
            <w:tcBorders>
              <w:left w:val="single" w:color="000000" w:sz="10" w:space="0"/>
            </w:tcBorders>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20</w:t>
            </w:r>
          </w:p>
        </w:tc>
        <w:tc>
          <w:tcPr>
            <w:tcW w:w="228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苗木抚育管护人工费</w:t>
            </w:r>
          </w:p>
        </w:tc>
        <w:tc>
          <w:tcPr>
            <w:tcW w:w="3633" w:type="dxa"/>
            <w:vAlign w:val="top"/>
          </w:tcPr>
          <w:p>
            <w:pPr>
              <w:pStyle w:val="53"/>
              <w:spacing w:line="262" w:lineRule="auto"/>
              <w:rPr>
                <w:rFonts w:hint="eastAsia" w:ascii="宋体" w:hAnsi="宋体" w:eastAsia="宋体" w:cs="宋体"/>
                <w:sz w:val="24"/>
                <w:szCs w:val="24"/>
              </w:rPr>
            </w:pPr>
            <w:r>
              <w:rPr>
                <w:rFonts w:hint="eastAsia" w:ascii="宋体" w:hAnsi="宋体" w:eastAsia="宋体" w:cs="宋体"/>
                <w:sz w:val="24"/>
                <w:szCs w:val="24"/>
              </w:rPr>
              <w:t>1.含扦插、栽植、抚育管理等</w:t>
            </w:r>
          </w:p>
        </w:tc>
        <w:tc>
          <w:tcPr>
            <w:tcW w:w="1650"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工日</w:t>
            </w:r>
          </w:p>
        </w:tc>
        <w:tc>
          <w:tcPr>
            <w:tcW w:w="1134" w:type="dxa"/>
            <w:vAlign w:val="top"/>
          </w:tcPr>
          <w:p>
            <w:pPr>
              <w:pStyle w:val="53"/>
              <w:spacing w:line="262" w:lineRule="auto"/>
              <w:jc w:val="center"/>
              <w:rPr>
                <w:rFonts w:hint="eastAsia" w:ascii="宋体" w:hAnsi="宋体" w:eastAsia="宋体" w:cs="宋体"/>
                <w:sz w:val="24"/>
                <w:szCs w:val="24"/>
              </w:rPr>
            </w:pPr>
            <w:r>
              <w:rPr>
                <w:rFonts w:hint="eastAsia" w:ascii="宋体" w:hAnsi="宋体" w:eastAsia="宋体" w:cs="宋体"/>
                <w:sz w:val="24"/>
                <w:szCs w:val="24"/>
              </w:rPr>
              <w:t>2400</w:t>
            </w:r>
          </w:p>
        </w:tc>
      </w:tr>
    </w:tbl>
    <w:p>
      <w:pPr>
        <w:pStyle w:val="12"/>
        <w:outlineLvl w:val="9"/>
      </w:pPr>
    </w:p>
    <w:sectPr>
      <w:footerReference r:id="rId5" w:type="first"/>
      <w:footerReference r:id="rId4" w:type="default"/>
      <w:pgSz w:w="11906" w:h="16838"/>
      <w:pgMar w:top="1440" w:right="1077" w:bottom="1440" w:left="1077" w:header="851" w:footer="992" w:gutter="0"/>
      <w:pgBorders w:display="notFirstPage" w:offsetFrom="page">
        <w:top w:val="none" w:sz="0" w:space="0"/>
        <w:left w:val="none" w:sz="0" w:space="0"/>
        <w:bottom w:val="none" w:sz="0" w:space="0"/>
        <w:right w:val="none" w:sz="0" w:space="0"/>
      </w:pgBorders>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GE Inspira Pitch">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ヒラギノ角ゴ Pro W3">
    <w:altName w:val="Yu Gothic"/>
    <w:panose1 w:val="00000000000000000000"/>
    <w:charset w:val="80"/>
    <w:family w:val="auto"/>
    <w:pitch w:val="default"/>
    <w:sig w:usb0="00000000" w:usb1="00000000" w:usb2="00000012" w:usb3="00000000" w:csb0="0002000D"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b/>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textAlignment w:val="baseline"/>
      <w:rPr>
        <w:rFonts w:ascii="楷体" w:hAnsi="楷体" w:eastAsia="楷体"/>
        <w:b/>
        <w:sz w:val="16"/>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B3906"/>
    <w:multiLevelType w:val="singleLevel"/>
    <w:tmpl w:val="DE9B3906"/>
    <w:lvl w:ilvl="0" w:tentative="0">
      <w:start w:val="2"/>
      <w:numFmt w:val="decimal"/>
      <w:suff w:val="nothing"/>
      <w:lvlText w:val="%1、"/>
      <w:lvlJc w:val="left"/>
    </w:lvl>
  </w:abstractNum>
  <w:abstractNum w:abstractNumId="1">
    <w:nsid w:val="005C669B"/>
    <w:multiLevelType w:val="multilevel"/>
    <w:tmpl w:val="005C669B"/>
    <w:lvl w:ilvl="0" w:tentative="0">
      <w:start w:val="1"/>
      <w:numFmt w:val="decimal"/>
      <w:lvlText w:val="（%1）"/>
      <w:lvlJc w:val="left"/>
      <w:pPr>
        <w:ind w:left="1041" w:hanging="420"/>
      </w:pPr>
      <w:rPr>
        <w:rFonts w:hint="default"/>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2">
    <w:nsid w:val="02400DDE"/>
    <w:multiLevelType w:val="multilevel"/>
    <w:tmpl w:val="02400DD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143627"/>
    <w:multiLevelType w:val="multilevel"/>
    <w:tmpl w:val="0B14362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0B21349E"/>
    <w:multiLevelType w:val="multilevel"/>
    <w:tmpl w:val="0B21349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0FD92A73"/>
    <w:multiLevelType w:val="multilevel"/>
    <w:tmpl w:val="0FD92A73"/>
    <w:lvl w:ilvl="0" w:tentative="0">
      <w:start w:val="2"/>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6">
    <w:nsid w:val="18814C8C"/>
    <w:multiLevelType w:val="multilevel"/>
    <w:tmpl w:val="18814C8C"/>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25933C0A"/>
    <w:multiLevelType w:val="multilevel"/>
    <w:tmpl w:val="25933C0A"/>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40CF13D4"/>
    <w:multiLevelType w:val="multilevel"/>
    <w:tmpl w:val="40CF13D4"/>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720"/>
        </w:tabs>
        <w:ind w:left="567" w:hanging="567"/>
      </w:pPr>
      <w:rPr>
        <w:rFonts w:hint="eastAsia"/>
      </w:rPr>
    </w:lvl>
    <w:lvl w:ilvl="2" w:tentative="0">
      <w:start w:val="1"/>
      <w:numFmt w:val="chineseCountingThousand"/>
      <w:lvlText w:val="%3、"/>
      <w:lvlJc w:val="left"/>
      <w:pPr>
        <w:tabs>
          <w:tab w:val="left" w:pos="2836"/>
        </w:tabs>
        <w:ind w:left="2836" w:hanging="709"/>
      </w:pPr>
      <w:rPr>
        <w:rFonts w:hint="eastAsia"/>
        <w:b/>
        <w:spacing w:val="-20"/>
        <w:lang w:val="en-US"/>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433044D6"/>
    <w:multiLevelType w:val="multilevel"/>
    <w:tmpl w:val="433044D6"/>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46C71494"/>
    <w:multiLevelType w:val="multilevel"/>
    <w:tmpl w:val="46C71494"/>
    <w:lvl w:ilvl="0" w:tentative="0">
      <w:start w:val="1"/>
      <w:numFmt w:val="decimal"/>
      <w:lvlText w:val="%1)"/>
      <w:lvlJc w:val="left"/>
      <w:pPr>
        <w:ind w:left="1461" w:hanging="420"/>
      </w:pPr>
    </w:lvl>
    <w:lvl w:ilvl="1" w:tentative="0">
      <w:start w:val="1"/>
      <w:numFmt w:val="lowerLetter"/>
      <w:lvlText w:val="%2)"/>
      <w:lvlJc w:val="left"/>
      <w:pPr>
        <w:ind w:left="1881" w:hanging="420"/>
      </w:pPr>
    </w:lvl>
    <w:lvl w:ilvl="2" w:tentative="0">
      <w:start w:val="1"/>
      <w:numFmt w:val="lowerRoman"/>
      <w:lvlText w:val="%3."/>
      <w:lvlJc w:val="right"/>
      <w:pPr>
        <w:ind w:left="2301" w:hanging="420"/>
      </w:pPr>
    </w:lvl>
    <w:lvl w:ilvl="3" w:tentative="0">
      <w:start w:val="1"/>
      <w:numFmt w:val="decimal"/>
      <w:lvlText w:val="%4."/>
      <w:lvlJc w:val="left"/>
      <w:pPr>
        <w:ind w:left="2721" w:hanging="420"/>
      </w:pPr>
    </w:lvl>
    <w:lvl w:ilvl="4" w:tentative="0">
      <w:start w:val="1"/>
      <w:numFmt w:val="lowerLetter"/>
      <w:lvlText w:val="%5)"/>
      <w:lvlJc w:val="left"/>
      <w:pPr>
        <w:ind w:left="3141" w:hanging="420"/>
      </w:pPr>
    </w:lvl>
    <w:lvl w:ilvl="5" w:tentative="0">
      <w:start w:val="1"/>
      <w:numFmt w:val="lowerRoman"/>
      <w:lvlText w:val="%6."/>
      <w:lvlJc w:val="right"/>
      <w:pPr>
        <w:ind w:left="3561" w:hanging="420"/>
      </w:pPr>
    </w:lvl>
    <w:lvl w:ilvl="6" w:tentative="0">
      <w:start w:val="1"/>
      <w:numFmt w:val="decimal"/>
      <w:lvlText w:val="%7."/>
      <w:lvlJc w:val="left"/>
      <w:pPr>
        <w:ind w:left="3981" w:hanging="420"/>
      </w:pPr>
    </w:lvl>
    <w:lvl w:ilvl="7" w:tentative="0">
      <w:start w:val="1"/>
      <w:numFmt w:val="lowerLetter"/>
      <w:lvlText w:val="%8)"/>
      <w:lvlJc w:val="left"/>
      <w:pPr>
        <w:ind w:left="4401" w:hanging="420"/>
      </w:pPr>
    </w:lvl>
    <w:lvl w:ilvl="8" w:tentative="0">
      <w:start w:val="1"/>
      <w:numFmt w:val="lowerRoman"/>
      <w:lvlText w:val="%9."/>
      <w:lvlJc w:val="right"/>
      <w:pPr>
        <w:ind w:left="4821" w:hanging="420"/>
      </w:pPr>
    </w:lvl>
  </w:abstractNum>
  <w:abstractNum w:abstractNumId="11">
    <w:nsid w:val="4EFA17D5"/>
    <w:multiLevelType w:val="multilevel"/>
    <w:tmpl w:val="4EFA17D5"/>
    <w:lvl w:ilvl="0" w:tentative="0">
      <w:start w:val="19"/>
      <w:numFmt w:val="decimal"/>
      <w:lvlText w:val="%1"/>
      <w:lvlJc w:val="left"/>
      <w:pPr>
        <w:ind w:left="480" w:hanging="480"/>
      </w:pPr>
      <w:rPr>
        <w:rFonts w:hint="default"/>
      </w:rPr>
    </w:lvl>
    <w:lvl w:ilvl="1" w:tentative="0">
      <w:start w:val="1"/>
      <w:numFmt w:val="decimal"/>
      <w:lvlText w:val="15.%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2">
    <w:nsid w:val="4FE725AC"/>
    <w:multiLevelType w:val="multilevel"/>
    <w:tmpl w:val="4FE725AC"/>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14">
    <w:nsid w:val="56997346"/>
    <w:multiLevelType w:val="multilevel"/>
    <w:tmpl w:val="56997346"/>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5">
    <w:nsid w:val="57693060"/>
    <w:multiLevelType w:val="multilevel"/>
    <w:tmpl w:val="5769306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9FC3E95"/>
    <w:multiLevelType w:val="singleLevel"/>
    <w:tmpl w:val="59FC3E95"/>
    <w:lvl w:ilvl="0" w:tentative="0">
      <w:start w:val="1"/>
      <w:numFmt w:val="decimal"/>
      <w:lvlText w:val="(%1)"/>
      <w:lvlJc w:val="left"/>
      <w:pPr>
        <w:tabs>
          <w:tab w:val="left" w:pos="312"/>
        </w:tabs>
      </w:pPr>
    </w:lvl>
  </w:abstractNum>
  <w:abstractNum w:abstractNumId="17">
    <w:nsid w:val="63AA4A1E"/>
    <w:multiLevelType w:val="multilevel"/>
    <w:tmpl w:val="63AA4A1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647E01AF"/>
    <w:multiLevelType w:val="multilevel"/>
    <w:tmpl w:val="647E01AF"/>
    <w:lvl w:ilvl="0" w:tentative="0">
      <w:start w:val="6"/>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9">
    <w:nsid w:val="6BC93FB5"/>
    <w:multiLevelType w:val="multilevel"/>
    <w:tmpl w:val="6BC93FB5"/>
    <w:lvl w:ilvl="0" w:tentative="0">
      <w:start w:val="8"/>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0">
    <w:nsid w:val="6C525B9F"/>
    <w:multiLevelType w:val="multilevel"/>
    <w:tmpl w:val="6C525B9F"/>
    <w:lvl w:ilvl="0" w:tentative="0">
      <w:start w:val="5"/>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1">
    <w:nsid w:val="719C3F02"/>
    <w:multiLevelType w:val="multilevel"/>
    <w:tmpl w:val="719C3F02"/>
    <w:lvl w:ilvl="0" w:tentative="0">
      <w:start w:val="7"/>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2">
    <w:nsid w:val="72C135E4"/>
    <w:multiLevelType w:val="multilevel"/>
    <w:tmpl w:val="72C135E4"/>
    <w:lvl w:ilvl="0" w:tentative="0">
      <w:start w:val="9"/>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3">
    <w:nsid w:val="75300036"/>
    <w:multiLevelType w:val="multilevel"/>
    <w:tmpl w:val="75300036"/>
    <w:lvl w:ilvl="0" w:tentative="0">
      <w:start w:val="4"/>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4">
    <w:nsid w:val="76DB7DEA"/>
    <w:multiLevelType w:val="multilevel"/>
    <w:tmpl w:val="76DB7D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A113608"/>
    <w:multiLevelType w:val="multilevel"/>
    <w:tmpl w:val="7A11360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7CA10DD4"/>
    <w:multiLevelType w:val="multilevel"/>
    <w:tmpl w:val="7CA10DD4"/>
    <w:lvl w:ilvl="0" w:tentative="0">
      <w:start w:val="1"/>
      <w:numFmt w:val="decimal"/>
      <w:lvlText w:val="（%1）"/>
      <w:lvlJc w:val="left"/>
      <w:pPr>
        <w:ind w:left="845" w:hanging="420"/>
      </w:pPr>
    </w:lvl>
    <w:lvl w:ilvl="1" w:tentative="0">
      <w:start w:val="1"/>
      <w:numFmt w:val="decimal"/>
      <w:lvlText w:val="%2."/>
      <w:lvlJc w:val="left"/>
      <w:pPr>
        <w:ind w:left="988" w:hanging="420"/>
      </w:pPr>
      <w:rPr>
        <w:rFonts w:hint="eastAsia"/>
      </w:r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8"/>
  </w:num>
  <w:num w:numId="2">
    <w:abstractNumId w:val="24"/>
  </w:num>
  <w:num w:numId="3">
    <w:abstractNumId w:val="13"/>
  </w:num>
  <w:num w:numId="4">
    <w:abstractNumId w:val="2"/>
  </w:num>
  <w:num w:numId="5">
    <w:abstractNumId w:val="5"/>
  </w:num>
  <w:num w:numId="6">
    <w:abstractNumId w:val="23"/>
  </w:num>
  <w:num w:numId="7">
    <w:abstractNumId w:val="4"/>
  </w:num>
  <w:num w:numId="8">
    <w:abstractNumId w:val="20"/>
  </w:num>
  <w:num w:numId="9">
    <w:abstractNumId w:val="6"/>
  </w:num>
  <w:num w:numId="10">
    <w:abstractNumId w:val="18"/>
  </w:num>
  <w:num w:numId="11">
    <w:abstractNumId w:val="21"/>
  </w:num>
  <w:num w:numId="12">
    <w:abstractNumId w:val="19"/>
  </w:num>
  <w:num w:numId="13">
    <w:abstractNumId w:val="22"/>
  </w:num>
  <w:num w:numId="14">
    <w:abstractNumId w:val="12"/>
  </w:num>
  <w:num w:numId="15">
    <w:abstractNumId w:val="7"/>
  </w:num>
  <w:num w:numId="16">
    <w:abstractNumId w:val="16"/>
  </w:num>
  <w:num w:numId="17">
    <w:abstractNumId w:val="25"/>
  </w:num>
  <w:num w:numId="18">
    <w:abstractNumId w:val="15"/>
  </w:num>
  <w:num w:numId="19">
    <w:abstractNumId w:val="17"/>
  </w:num>
  <w:num w:numId="20">
    <w:abstractNumId w:val="3"/>
  </w:num>
  <w:num w:numId="21">
    <w:abstractNumId w:val="9"/>
  </w:num>
  <w:num w:numId="22">
    <w:abstractNumId w:val="11"/>
  </w:num>
  <w:num w:numId="23">
    <w:abstractNumId w:val="1"/>
  </w:num>
  <w:num w:numId="24">
    <w:abstractNumId w:val="14"/>
  </w:num>
  <w:num w:numId="25">
    <w:abstractNumId w:val="10"/>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wOTIzYzQxMTlmMTdkZjI0OTUwNjI1YTRhNWY1YzEifQ=="/>
  </w:docVars>
  <w:rsids>
    <w:rsidRoot w:val="00B64A69"/>
    <w:rsid w:val="00002BF7"/>
    <w:rsid w:val="000038F3"/>
    <w:rsid w:val="0000523C"/>
    <w:rsid w:val="00005A48"/>
    <w:rsid w:val="000067C2"/>
    <w:rsid w:val="00006833"/>
    <w:rsid w:val="00007EA5"/>
    <w:rsid w:val="00010612"/>
    <w:rsid w:val="0001239E"/>
    <w:rsid w:val="000138A2"/>
    <w:rsid w:val="00014941"/>
    <w:rsid w:val="000150EB"/>
    <w:rsid w:val="00015785"/>
    <w:rsid w:val="0001710E"/>
    <w:rsid w:val="0001758F"/>
    <w:rsid w:val="00020295"/>
    <w:rsid w:val="0002211A"/>
    <w:rsid w:val="000224C6"/>
    <w:rsid w:val="00022B07"/>
    <w:rsid w:val="00023E42"/>
    <w:rsid w:val="0002411A"/>
    <w:rsid w:val="00025E8C"/>
    <w:rsid w:val="000270B5"/>
    <w:rsid w:val="00030AFF"/>
    <w:rsid w:val="0003102F"/>
    <w:rsid w:val="0003112F"/>
    <w:rsid w:val="000337CD"/>
    <w:rsid w:val="00033C36"/>
    <w:rsid w:val="00033CB3"/>
    <w:rsid w:val="00034AC1"/>
    <w:rsid w:val="000436A5"/>
    <w:rsid w:val="00043AA4"/>
    <w:rsid w:val="00044157"/>
    <w:rsid w:val="000446E2"/>
    <w:rsid w:val="000457A3"/>
    <w:rsid w:val="00045810"/>
    <w:rsid w:val="00046F57"/>
    <w:rsid w:val="00047649"/>
    <w:rsid w:val="00047F62"/>
    <w:rsid w:val="00051006"/>
    <w:rsid w:val="00051784"/>
    <w:rsid w:val="00053076"/>
    <w:rsid w:val="000532B7"/>
    <w:rsid w:val="00053663"/>
    <w:rsid w:val="00053BD8"/>
    <w:rsid w:val="00053D3B"/>
    <w:rsid w:val="0005473E"/>
    <w:rsid w:val="00054D79"/>
    <w:rsid w:val="00054EB9"/>
    <w:rsid w:val="000558CC"/>
    <w:rsid w:val="000562AC"/>
    <w:rsid w:val="00057DDD"/>
    <w:rsid w:val="00060656"/>
    <w:rsid w:val="0006091D"/>
    <w:rsid w:val="00060A80"/>
    <w:rsid w:val="00060CCE"/>
    <w:rsid w:val="00061A61"/>
    <w:rsid w:val="00064C22"/>
    <w:rsid w:val="00067AEA"/>
    <w:rsid w:val="00070389"/>
    <w:rsid w:val="00071AFA"/>
    <w:rsid w:val="00071E6B"/>
    <w:rsid w:val="000722C3"/>
    <w:rsid w:val="0007370E"/>
    <w:rsid w:val="0007472D"/>
    <w:rsid w:val="00075EB8"/>
    <w:rsid w:val="0007617E"/>
    <w:rsid w:val="00076F9D"/>
    <w:rsid w:val="000806B7"/>
    <w:rsid w:val="00081442"/>
    <w:rsid w:val="00081E42"/>
    <w:rsid w:val="00082C27"/>
    <w:rsid w:val="00083F67"/>
    <w:rsid w:val="000846AA"/>
    <w:rsid w:val="0008494D"/>
    <w:rsid w:val="000872D0"/>
    <w:rsid w:val="00090332"/>
    <w:rsid w:val="00091565"/>
    <w:rsid w:val="00091938"/>
    <w:rsid w:val="0009193B"/>
    <w:rsid w:val="00092BBF"/>
    <w:rsid w:val="00094715"/>
    <w:rsid w:val="00095A45"/>
    <w:rsid w:val="00095B69"/>
    <w:rsid w:val="00095B6F"/>
    <w:rsid w:val="00095F54"/>
    <w:rsid w:val="000A02A4"/>
    <w:rsid w:val="000A2FE2"/>
    <w:rsid w:val="000A34B2"/>
    <w:rsid w:val="000A3E69"/>
    <w:rsid w:val="000A4266"/>
    <w:rsid w:val="000A4A29"/>
    <w:rsid w:val="000A549F"/>
    <w:rsid w:val="000A5B2E"/>
    <w:rsid w:val="000A5D96"/>
    <w:rsid w:val="000A5E33"/>
    <w:rsid w:val="000A63AE"/>
    <w:rsid w:val="000A6482"/>
    <w:rsid w:val="000A670C"/>
    <w:rsid w:val="000A6B77"/>
    <w:rsid w:val="000A79BC"/>
    <w:rsid w:val="000A7AA9"/>
    <w:rsid w:val="000A7E78"/>
    <w:rsid w:val="000B04C5"/>
    <w:rsid w:val="000B0C19"/>
    <w:rsid w:val="000B1F19"/>
    <w:rsid w:val="000B46FC"/>
    <w:rsid w:val="000B4836"/>
    <w:rsid w:val="000B6728"/>
    <w:rsid w:val="000B6C24"/>
    <w:rsid w:val="000C18FF"/>
    <w:rsid w:val="000C2843"/>
    <w:rsid w:val="000C3092"/>
    <w:rsid w:val="000C336D"/>
    <w:rsid w:val="000C3CC9"/>
    <w:rsid w:val="000C3F42"/>
    <w:rsid w:val="000C4278"/>
    <w:rsid w:val="000C43F0"/>
    <w:rsid w:val="000C57AF"/>
    <w:rsid w:val="000C60A4"/>
    <w:rsid w:val="000C6505"/>
    <w:rsid w:val="000C68E5"/>
    <w:rsid w:val="000C6B3B"/>
    <w:rsid w:val="000D019E"/>
    <w:rsid w:val="000D19A1"/>
    <w:rsid w:val="000D1FC0"/>
    <w:rsid w:val="000D22FF"/>
    <w:rsid w:val="000D3929"/>
    <w:rsid w:val="000D64A4"/>
    <w:rsid w:val="000D6DF6"/>
    <w:rsid w:val="000D7068"/>
    <w:rsid w:val="000D7CD3"/>
    <w:rsid w:val="000E0567"/>
    <w:rsid w:val="000E09CB"/>
    <w:rsid w:val="000E0E00"/>
    <w:rsid w:val="000E1298"/>
    <w:rsid w:val="000E346D"/>
    <w:rsid w:val="000E4967"/>
    <w:rsid w:val="000E49EA"/>
    <w:rsid w:val="000E4C8C"/>
    <w:rsid w:val="000E791D"/>
    <w:rsid w:val="000F00E5"/>
    <w:rsid w:val="000F03C2"/>
    <w:rsid w:val="000F095F"/>
    <w:rsid w:val="000F3469"/>
    <w:rsid w:val="000F5C6D"/>
    <w:rsid w:val="00100215"/>
    <w:rsid w:val="001003FB"/>
    <w:rsid w:val="00100A96"/>
    <w:rsid w:val="00101C28"/>
    <w:rsid w:val="001033A1"/>
    <w:rsid w:val="0010348C"/>
    <w:rsid w:val="001039CF"/>
    <w:rsid w:val="00103A39"/>
    <w:rsid w:val="001042F0"/>
    <w:rsid w:val="00104CCA"/>
    <w:rsid w:val="0010631C"/>
    <w:rsid w:val="001068A3"/>
    <w:rsid w:val="001100C2"/>
    <w:rsid w:val="0011027C"/>
    <w:rsid w:val="00110842"/>
    <w:rsid w:val="00110AF9"/>
    <w:rsid w:val="00110EE4"/>
    <w:rsid w:val="0011125A"/>
    <w:rsid w:val="0011163B"/>
    <w:rsid w:val="00112CB9"/>
    <w:rsid w:val="00113053"/>
    <w:rsid w:val="001135A0"/>
    <w:rsid w:val="00114C0A"/>
    <w:rsid w:val="00114D98"/>
    <w:rsid w:val="001164D8"/>
    <w:rsid w:val="00117E99"/>
    <w:rsid w:val="001209A9"/>
    <w:rsid w:val="00120EB7"/>
    <w:rsid w:val="00120F9A"/>
    <w:rsid w:val="00121135"/>
    <w:rsid w:val="0012381B"/>
    <w:rsid w:val="00123F0F"/>
    <w:rsid w:val="00124055"/>
    <w:rsid w:val="001254F6"/>
    <w:rsid w:val="00125A2E"/>
    <w:rsid w:val="0012666C"/>
    <w:rsid w:val="00127A1D"/>
    <w:rsid w:val="001309C1"/>
    <w:rsid w:val="00130B08"/>
    <w:rsid w:val="00130E28"/>
    <w:rsid w:val="00132691"/>
    <w:rsid w:val="00133612"/>
    <w:rsid w:val="001337D1"/>
    <w:rsid w:val="00134A4A"/>
    <w:rsid w:val="00135CE1"/>
    <w:rsid w:val="0013606C"/>
    <w:rsid w:val="00137081"/>
    <w:rsid w:val="00141D84"/>
    <w:rsid w:val="0014227A"/>
    <w:rsid w:val="0014346E"/>
    <w:rsid w:val="00143668"/>
    <w:rsid w:val="00144745"/>
    <w:rsid w:val="00144849"/>
    <w:rsid w:val="00144F80"/>
    <w:rsid w:val="00146FA2"/>
    <w:rsid w:val="001509BD"/>
    <w:rsid w:val="00150B55"/>
    <w:rsid w:val="00151434"/>
    <w:rsid w:val="00153051"/>
    <w:rsid w:val="001538F6"/>
    <w:rsid w:val="00153B72"/>
    <w:rsid w:val="001565AC"/>
    <w:rsid w:val="00157CBF"/>
    <w:rsid w:val="00157ED9"/>
    <w:rsid w:val="001605B9"/>
    <w:rsid w:val="00161442"/>
    <w:rsid w:val="001624DE"/>
    <w:rsid w:val="00163370"/>
    <w:rsid w:val="00164B21"/>
    <w:rsid w:val="00165018"/>
    <w:rsid w:val="001655A7"/>
    <w:rsid w:val="001659BA"/>
    <w:rsid w:val="001673A5"/>
    <w:rsid w:val="001702B3"/>
    <w:rsid w:val="00170482"/>
    <w:rsid w:val="001714CB"/>
    <w:rsid w:val="00171BAC"/>
    <w:rsid w:val="00172D02"/>
    <w:rsid w:val="00173A17"/>
    <w:rsid w:val="00174D3A"/>
    <w:rsid w:val="00174F7A"/>
    <w:rsid w:val="00175689"/>
    <w:rsid w:val="00176770"/>
    <w:rsid w:val="001773F2"/>
    <w:rsid w:val="00177C16"/>
    <w:rsid w:val="001801DD"/>
    <w:rsid w:val="00180A83"/>
    <w:rsid w:val="001810DF"/>
    <w:rsid w:val="00181301"/>
    <w:rsid w:val="001829C0"/>
    <w:rsid w:val="00184ADA"/>
    <w:rsid w:val="00185FA7"/>
    <w:rsid w:val="00187489"/>
    <w:rsid w:val="0018749E"/>
    <w:rsid w:val="0018786E"/>
    <w:rsid w:val="00190253"/>
    <w:rsid w:val="00191300"/>
    <w:rsid w:val="00191B3C"/>
    <w:rsid w:val="00194DC7"/>
    <w:rsid w:val="00197375"/>
    <w:rsid w:val="001A1F4C"/>
    <w:rsid w:val="001A27B9"/>
    <w:rsid w:val="001A589B"/>
    <w:rsid w:val="001A5D19"/>
    <w:rsid w:val="001A6164"/>
    <w:rsid w:val="001A6395"/>
    <w:rsid w:val="001A7AF7"/>
    <w:rsid w:val="001B1AB2"/>
    <w:rsid w:val="001B258F"/>
    <w:rsid w:val="001B290C"/>
    <w:rsid w:val="001B3668"/>
    <w:rsid w:val="001B3A0B"/>
    <w:rsid w:val="001B5289"/>
    <w:rsid w:val="001B5A29"/>
    <w:rsid w:val="001B6AEF"/>
    <w:rsid w:val="001C100B"/>
    <w:rsid w:val="001C12BF"/>
    <w:rsid w:val="001C1E19"/>
    <w:rsid w:val="001C3362"/>
    <w:rsid w:val="001C3EEB"/>
    <w:rsid w:val="001C4112"/>
    <w:rsid w:val="001C4B2F"/>
    <w:rsid w:val="001C5860"/>
    <w:rsid w:val="001C7E11"/>
    <w:rsid w:val="001D0224"/>
    <w:rsid w:val="001D0BB0"/>
    <w:rsid w:val="001D20DD"/>
    <w:rsid w:val="001D2B64"/>
    <w:rsid w:val="001D5003"/>
    <w:rsid w:val="001D5386"/>
    <w:rsid w:val="001D704B"/>
    <w:rsid w:val="001D7FF7"/>
    <w:rsid w:val="001E08C0"/>
    <w:rsid w:val="001E1452"/>
    <w:rsid w:val="001E1C73"/>
    <w:rsid w:val="001E3597"/>
    <w:rsid w:val="001E3D4B"/>
    <w:rsid w:val="001E4FBC"/>
    <w:rsid w:val="001E62CF"/>
    <w:rsid w:val="001E78D7"/>
    <w:rsid w:val="001F06E7"/>
    <w:rsid w:val="001F15AA"/>
    <w:rsid w:val="001F165B"/>
    <w:rsid w:val="001F197B"/>
    <w:rsid w:val="001F263D"/>
    <w:rsid w:val="001F37EE"/>
    <w:rsid w:val="001F4C47"/>
    <w:rsid w:val="001F5EF3"/>
    <w:rsid w:val="001F6128"/>
    <w:rsid w:val="001F63F1"/>
    <w:rsid w:val="001F6CA1"/>
    <w:rsid w:val="002002AB"/>
    <w:rsid w:val="00200B28"/>
    <w:rsid w:val="00202142"/>
    <w:rsid w:val="00202149"/>
    <w:rsid w:val="002027BC"/>
    <w:rsid w:val="002032A7"/>
    <w:rsid w:val="002062BB"/>
    <w:rsid w:val="00206488"/>
    <w:rsid w:val="002069D8"/>
    <w:rsid w:val="00206D2B"/>
    <w:rsid w:val="00210596"/>
    <w:rsid w:val="00210EAD"/>
    <w:rsid w:val="00210EEA"/>
    <w:rsid w:val="00211082"/>
    <w:rsid w:val="00211346"/>
    <w:rsid w:val="0021138A"/>
    <w:rsid w:val="002118EC"/>
    <w:rsid w:val="00212E60"/>
    <w:rsid w:val="002136BF"/>
    <w:rsid w:val="00213F9D"/>
    <w:rsid w:val="00215C84"/>
    <w:rsid w:val="00221B90"/>
    <w:rsid w:val="002229E0"/>
    <w:rsid w:val="00224136"/>
    <w:rsid w:val="0022430C"/>
    <w:rsid w:val="002249FE"/>
    <w:rsid w:val="00224B53"/>
    <w:rsid w:val="002250D0"/>
    <w:rsid w:val="002307FD"/>
    <w:rsid w:val="0023168C"/>
    <w:rsid w:val="0023487E"/>
    <w:rsid w:val="0023498F"/>
    <w:rsid w:val="00234B46"/>
    <w:rsid w:val="00234FAA"/>
    <w:rsid w:val="0023585A"/>
    <w:rsid w:val="00235CAF"/>
    <w:rsid w:val="00235ED3"/>
    <w:rsid w:val="00237D6B"/>
    <w:rsid w:val="00237F23"/>
    <w:rsid w:val="00240485"/>
    <w:rsid w:val="002411CA"/>
    <w:rsid w:val="00242D84"/>
    <w:rsid w:val="002461F4"/>
    <w:rsid w:val="002471F8"/>
    <w:rsid w:val="002475F8"/>
    <w:rsid w:val="00247938"/>
    <w:rsid w:val="00250300"/>
    <w:rsid w:val="00250602"/>
    <w:rsid w:val="00250E1D"/>
    <w:rsid w:val="00250E41"/>
    <w:rsid w:val="00250E43"/>
    <w:rsid w:val="0025211E"/>
    <w:rsid w:val="00253C8B"/>
    <w:rsid w:val="00253CA5"/>
    <w:rsid w:val="002550B8"/>
    <w:rsid w:val="002554DC"/>
    <w:rsid w:val="002565A6"/>
    <w:rsid w:val="00256BE3"/>
    <w:rsid w:val="00260023"/>
    <w:rsid w:val="0026098D"/>
    <w:rsid w:val="002612E7"/>
    <w:rsid w:val="00262A92"/>
    <w:rsid w:val="002634E7"/>
    <w:rsid w:val="00263995"/>
    <w:rsid w:val="00263C2D"/>
    <w:rsid w:val="00263CBE"/>
    <w:rsid w:val="00263CC7"/>
    <w:rsid w:val="00264313"/>
    <w:rsid w:val="00264625"/>
    <w:rsid w:val="00264E70"/>
    <w:rsid w:val="00265C78"/>
    <w:rsid w:val="00266104"/>
    <w:rsid w:val="00266513"/>
    <w:rsid w:val="00267C26"/>
    <w:rsid w:val="00270623"/>
    <w:rsid w:val="00271723"/>
    <w:rsid w:val="0027217E"/>
    <w:rsid w:val="00273870"/>
    <w:rsid w:val="00273EF6"/>
    <w:rsid w:val="0027411F"/>
    <w:rsid w:val="002759C5"/>
    <w:rsid w:val="00275ED0"/>
    <w:rsid w:val="0027632C"/>
    <w:rsid w:val="0027683B"/>
    <w:rsid w:val="00280EEC"/>
    <w:rsid w:val="002812BE"/>
    <w:rsid w:val="00281F11"/>
    <w:rsid w:val="0028262A"/>
    <w:rsid w:val="002839E2"/>
    <w:rsid w:val="00284776"/>
    <w:rsid w:val="00285653"/>
    <w:rsid w:val="00286271"/>
    <w:rsid w:val="002863DA"/>
    <w:rsid w:val="002867B9"/>
    <w:rsid w:val="00287023"/>
    <w:rsid w:val="00287946"/>
    <w:rsid w:val="00292A1E"/>
    <w:rsid w:val="0029314E"/>
    <w:rsid w:val="0029318E"/>
    <w:rsid w:val="00293A57"/>
    <w:rsid w:val="00293AFC"/>
    <w:rsid w:val="002948C0"/>
    <w:rsid w:val="00294A2B"/>
    <w:rsid w:val="00295B9A"/>
    <w:rsid w:val="002965BE"/>
    <w:rsid w:val="002A0F8E"/>
    <w:rsid w:val="002A252B"/>
    <w:rsid w:val="002A3ACF"/>
    <w:rsid w:val="002A4AFC"/>
    <w:rsid w:val="002A5FC8"/>
    <w:rsid w:val="002B0774"/>
    <w:rsid w:val="002B0A43"/>
    <w:rsid w:val="002B0B5B"/>
    <w:rsid w:val="002B3906"/>
    <w:rsid w:val="002B3C13"/>
    <w:rsid w:val="002B3D73"/>
    <w:rsid w:val="002B3D9A"/>
    <w:rsid w:val="002B3E7B"/>
    <w:rsid w:val="002B40F9"/>
    <w:rsid w:val="002B4366"/>
    <w:rsid w:val="002B67F7"/>
    <w:rsid w:val="002B6CF5"/>
    <w:rsid w:val="002B7080"/>
    <w:rsid w:val="002C03FE"/>
    <w:rsid w:val="002C0A84"/>
    <w:rsid w:val="002C1B1B"/>
    <w:rsid w:val="002C225A"/>
    <w:rsid w:val="002C59C7"/>
    <w:rsid w:val="002C5A13"/>
    <w:rsid w:val="002C68CB"/>
    <w:rsid w:val="002C6A48"/>
    <w:rsid w:val="002C6AFF"/>
    <w:rsid w:val="002C709C"/>
    <w:rsid w:val="002C7491"/>
    <w:rsid w:val="002C7F49"/>
    <w:rsid w:val="002D471D"/>
    <w:rsid w:val="002D49D1"/>
    <w:rsid w:val="002D5143"/>
    <w:rsid w:val="002D56ED"/>
    <w:rsid w:val="002D7C5E"/>
    <w:rsid w:val="002E0050"/>
    <w:rsid w:val="002E00A6"/>
    <w:rsid w:val="002E120E"/>
    <w:rsid w:val="002E18F2"/>
    <w:rsid w:val="002E27F1"/>
    <w:rsid w:val="002E2E37"/>
    <w:rsid w:val="002E3341"/>
    <w:rsid w:val="002E5582"/>
    <w:rsid w:val="002E5C15"/>
    <w:rsid w:val="002E6972"/>
    <w:rsid w:val="002F1F0A"/>
    <w:rsid w:val="002F29A0"/>
    <w:rsid w:val="002F2BA1"/>
    <w:rsid w:val="002F3442"/>
    <w:rsid w:val="002F3D64"/>
    <w:rsid w:val="002F45B9"/>
    <w:rsid w:val="002F4602"/>
    <w:rsid w:val="002F4AE4"/>
    <w:rsid w:val="002F5A06"/>
    <w:rsid w:val="002F611D"/>
    <w:rsid w:val="002F750C"/>
    <w:rsid w:val="002F7D44"/>
    <w:rsid w:val="002F7F12"/>
    <w:rsid w:val="00301408"/>
    <w:rsid w:val="00301577"/>
    <w:rsid w:val="003015BD"/>
    <w:rsid w:val="00301D59"/>
    <w:rsid w:val="00301D7F"/>
    <w:rsid w:val="003028D3"/>
    <w:rsid w:val="00302F31"/>
    <w:rsid w:val="003035D3"/>
    <w:rsid w:val="003035EC"/>
    <w:rsid w:val="00305706"/>
    <w:rsid w:val="00305E0E"/>
    <w:rsid w:val="003072F8"/>
    <w:rsid w:val="003103AB"/>
    <w:rsid w:val="003106A7"/>
    <w:rsid w:val="00310A22"/>
    <w:rsid w:val="00310E13"/>
    <w:rsid w:val="003110B2"/>
    <w:rsid w:val="0031335F"/>
    <w:rsid w:val="0031377B"/>
    <w:rsid w:val="00314AA7"/>
    <w:rsid w:val="00315066"/>
    <w:rsid w:val="003158A9"/>
    <w:rsid w:val="00315EC4"/>
    <w:rsid w:val="003163D0"/>
    <w:rsid w:val="0031651E"/>
    <w:rsid w:val="00317608"/>
    <w:rsid w:val="0031780A"/>
    <w:rsid w:val="00317891"/>
    <w:rsid w:val="00321269"/>
    <w:rsid w:val="00321E99"/>
    <w:rsid w:val="003233E5"/>
    <w:rsid w:val="00324D72"/>
    <w:rsid w:val="00326CD6"/>
    <w:rsid w:val="0032741F"/>
    <w:rsid w:val="003304B9"/>
    <w:rsid w:val="0033150D"/>
    <w:rsid w:val="00331ABE"/>
    <w:rsid w:val="0033290B"/>
    <w:rsid w:val="00333D06"/>
    <w:rsid w:val="0034157D"/>
    <w:rsid w:val="00341D0D"/>
    <w:rsid w:val="00342F14"/>
    <w:rsid w:val="003440F7"/>
    <w:rsid w:val="00344401"/>
    <w:rsid w:val="00345385"/>
    <w:rsid w:val="00345721"/>
    <w:rsid w:val="0034606E"/>
    <w:rsid w:val="00347405"/>
    <w:rsid w:val="0034743D"/>
    <w:rsid w:val="00347C5C"/>
    <w:rsid w:val="0035056F"/>
    <w:rsid w:val="003529E5"/>
    <w:rsid w:val="00353663"/>
    <w:rsid w:val="00354055"/>
    <w:rsid w:val="00355C6E"/>
    <w:rsid w:val="003560BD"/>
    <w:rsid w:val="00356255"/>
    <w:rsid w:val="0035748A"/>
    <w:rsid w:val="00357C79"/>
    <w:rsid w:val="003612B2"/>
    <w:rsid w:val="0036137E"/>
    <w:rsid w:val="00361505"/>
    <w:rsid w:val="003628E3"/>
    <w:rsid w:val="00362A2D"/>
    <w:rsid w:val="00362BCC"/>
    <w:rsid w:val="00363694"/>
    <w:rsid w:val="0036418A"/>
    <w:rsid w:val="00370C11"/>
    <w:rsid w:val="00370F9B"/>
    <w:rsid w:val="00372C89"/>
    <w:rsid w:val="00373EBB"/>
    <w:rsid w:val="00374189"/>
    <w:rsid w:val="00374879"/>
    <w:rsid w:val="00375A67"/>
    <w:rsid w:val="00376663"/>
    <w:rsid w:val="00377A32"/>
    <w:rsid w:val="00380B68"/>
    <w:rsid w:val="00381CA9"/>
    <w:rsid w:val="00382732"/>
    <w:rsid w:val="00386E74"/>
    <w:rsid w:val="003871E6"/>
    <w:rsid w:val="003873A3"/>
    <w:rsid w:val="00390084"/>
    <w:rsid w:val="00390AF1"/>
    <w:rsid w:val="00393A63"/>
    <w:rsid w:val="00393E2C"/>
    <w:rsid w:val="00394D96"/>
    <w:rsid w:val="00395FBC"/>
    <w:rsid w:val="00396783"/>
    <w:rsid w:val="00396A62"/>
    <w:rsid w:val="0039788F"/>
    <w:rsid w:val="003A0AF6"/>
    <w:rsid w:val="003A0C81"/>
    <w:rsid w:val="003A0E91"/>
    <w:rsid w:val="003A11A4"/>
    <w:rsid w:val="003A1C5A"/>
    <w:rsid w:val="003A2B4C"/>
    <w:rsid w:val="003A2CEB"/>
    <w:rsid w:val="003A39C0"/>
    <w:rsid w:val="003A3CBB"/>
    <w:rsid w:val="003A4B5B"/>
    <w:rsid w:val="003A54E9"/>
    <w:rsid w:val="003A7E68"/>
    <w:rsid w:val="003B0ABE"/>
    <w:rsid w:val="003B45D2"/>
    <w:rsid w:val="003B6101"/>
    <w:rsid w:val="003C0201"/>
    <w:rsid w:val="003C4D8F"/>
    <w:rsid w:val="003C644F"/>
    <w:rsid w:val="003C7A96"/>
    <w:rsid w:val="003D0248"/>
    <w:rsid w:val="003D041C"/>
    <w:rsid w:val="003D0529"/>
    <w:rsid w:val="003D1776"/>
    <w:rsid w:val="003D1CBD"/>
    <w:rsid w:val="003D322B"/>
    <w:rsid w:val="003D4271"/>
    <w:rsid w:val="003D4506"/>
    <w:rsid w:val="003D46EA"/>
    <w:rsid w:val="003D4CB9"/>
    <w:rsid w:val="003D5661"/>
    <w:rsid w:val="003D5817"/>
    <w:rsid w:val="003D6B4E"/>
    <w:rsid w:val="003D7DDD"/>
    <w:rsid w:val="003E02F7"/>
    <w:rsid w:val="003E0378"/>
    <w:rsid w:val="003E0459"/>
    <w:rsid w:val="003E0BFB"/>
    <w:rsid w:val="003E1052"/>
    <w:rsid w:val="003E416E"/>
    <w:rsid w:val="003E4F99"/>
    <w:rsid w:val="003E536F"/>
    <w:rsid w:val="003E625F"/>
    <w:rsid w:val="003E68AA"/>
    <w:rsid w:val="003E7FCD"/>
    <w:rsid w:val="003F0340"/>
    <w:rsid w:val="003F1EDC"/>
    <w:rsid w:val="003F4CAE"/>
    <w:rsid w:val="003F6B9A"/>
    <w:rsid w:val="003F70BB"/>
    <w:rsid w:val="003F7545"/>
    <w:rsid w:val="003F7710"/>
    <w:rsid w:val="003F78B4"/>
    <w:rsid w:val="003F794B"/>
    <w:rsid w:val="00400FFB"/>
    <w:rsid w:val="00402BE9"/>
    <w:rsid w:val="004049D9"/>
    <w:rsid w:val="004060D8"/>
    <w:rsid w:val="004066EF"/>
    <w:rsid w:val="00411025"/>
    <w:rsid w:val="004116F3"/>
    <w:rsid w:val="00412E9F"/>
    <w:rsid w:val="004152C0"/>
    <w:rsid w:val="00415784"/>
    <w:rsid w:val="00415A34"/>
    <w:rsid w:val="004165A2"/>
    <w:rsid w:val="00416962"/>
    <w:rsid w:val="004172E0"/>
    <w:rsid w:val="00417367"/>
    <w:rsid w:val="0041793E"/>
    <w:rsid w:val="00417C36"/>
    <w:rsid w:val="004204FB"/>
    <w:rsid w:val="00420E67"/>
    <w:rsid w:val="004216E2"/>
    <w:rsid w:val="004239FA"/>
    <w:rsid w:val="004245B7"/>
    <w:rsid w:val="00425183"/>
    <w:rsid w:val="00426720"/>
    <w:rsid w:val="00426906"/>
    <w:rsid w:val="004273F5"/>
    <w:rsid w:val="004318C5"/>
    <w:rsid w:val="00432419"/>
    <w:rsid w:val="004325F1"/>
    <w:rsid w:val="00433A07"/>
    <w:rsid w:val="00436011"/>
    <w:rsid w:val="00437DE0"/>
    <w:rsid w:val="004401DC"/>
    <w:rsid w:val="004429E4"/>
    <w:rsid w:val="004435F8"/>
    <w:rsid w:val="00443800"/>
    <w:rsid w:val="00443869"/>
    <w:rsid w:val="004443A4"/>
    <w:rsid w:val="00446641"/>
    <w:rsid w:val="0044682A"/>
    <w:rsid w:val="00447346"/>
    <w:rsid w:val="00447F80"/>
    <w:rsid w:val="00450E42"/>
    <w:rsid w:val="00451525"/>
    <w:rsid w:val="00451913"/>
    <w:rsid w:val="00451ED2"/>
    <w:rsid w:val="0045206A"/>
    <w:rsid w:val="00452B6F"/>
    <w:rsid w:val="00452FAD"/>
    <w:rsid w:val="00454BA4"/>
    <w:rsid w:val="004569F1"/>
    <w:rsid w:val="0045707F"/>
    <w:rsid w:val="00457735"/>
    <w:rsid w:val="00457D5F"/>
    <w:rsid w:val="00461142"/>
    <w:rsid w:val="00461184"/>
    <w:rsid w:val="00461E9F"/>
    <w:rsid w:val="0046364C"/>
    <w:rsid w:val="00463BB6"/>
    <w:rsid w:val="00464556"/>
    <w:rsid w:val="00464C20"/>
    <w:rsid w:val="0046591C"/>
    <w:rsid w:val="00466044"/>
    <w:rsid w:val="004704BB"/>
    <w:rsid w:val="004714C6"/>
    <w:rsid w:val="004719A0"/>
    <w:rsid w:val="00471ACC"/>
    <w:rsid w:val="00472193"/>
    <w:rsid w:val="004737FD"/>
    <w:rsid w:val="00473DDA"/>
    <w:rsid w:val="00475DE5"/>
    <w:rsid w:val="00475E8E"/>
    <w:rsid w:val="00475FE2"/>
    <w:rsid w:val="00476424"/>
    <w:rsid w:val="004766AB"/>
    <w:rsid w:val="004773FB"/>
    <w:rsid w:val="004777F0"/>
    <w:rsid w:val="004802FC"/>
    <w:rsid w:val="00480C84"/>
    <w:rsid w:val="00481C49"/>
    <w:rsid w:val="00482614"/>
    <w:rsid w:val="00482CF8"/>
    <w:rsid w:val="00482F1A"/>
    <w:rsid w:val="004844D1"/>
    <w:rsid w:val="00487974"/>
    <w:rsid w:val="00490F61"/>
    <w:rsid w:val="004938FF"/>
    <w:rsid w:val="00494755"/>
    <w:rsid w:val="004955F0"/>
    <w:rsid w:val="0049591A"/>
    <w:rsid w:val="00496CD5"/>
    <w:rsid w:val="0049768E"/>
    <w:rsid w:val="004A070E"/>
    <w:rsid w:val="004A1B0D"/>
    <w:rsid w:val="004A2070"/>
    <w:rsid w:val="004A2FAE"/>
    <w:rsid w:val="004A3ED2"/>
    <w:rsid w:val="004A4982"/>
    <w:rsid w:val="004A732D"/>
    <w:rsid w:val="004A7887"/>
    <w:rsid w:val="004A7B50"/>
    <w:rsid w:val="004A7C28"/>
    <w:rsid w:val="004B08FC"/>
    <w:rsid w:val="004B244C"/>
    <w:rsid w:val="004B2D23"/>
    <w:rsid w:val="004B489F"/>
    <w:rsid w:val="004B52B3"/>
    <w:rsid w:val="004B5A65"/>
    <w:rsid w:val="004B5C58"/>
    <w:rsid w:val="004B6399"/>
    <w:rsid w:val="004C0CD5"/>
    <w:rsid w:val="004C1069"/>
    <w:rsid w:val="004C366C"/>
    <w:rsid w:val="004C37FF"/>
    <w:rsid w:val="004C6759"/>
    <w:rsid w:val="004D162B"/>
    <w:rsid w:val="004D1921"/>
    <w:rsid w:val="004D249E"/>
    <w:rsid w:val="004D282F"/>
    <w:rsid w:val="004D2858"/>
    <w:rsid w:val="004D3CFB"/>
    <w:rsid w:val="004E0FA5"/>
    <w:rsid w:val="004E131E"/>
    <w:rsid w:val="004E1822"/>
    <w:rsid w:val="004E229C"/>
    <w:rsid w:val="004E26CF"/>
    <w:rsid w:val="004E3E7D"/>
    <w:rsid w:val="004E4BA3"/>
    <w:rsid w:val="004E6363"/>
    <w:rsid w:val="004E6710"/>
    <w:rsid w:val="004E6FBE"/>
    <w:rsid w:val="004F049A"/>
    <w:rsid w:val="004F0575"/>
    <w:rsid w:val="004F193D"/>
    <w:rsid w:val="004F24AD"/>
    <w:rsid w:val="004F2EB9"/>
    <w:rsid w:val="004F305B"/>
    <w:rsid w:val="004F3214"/>
    <w:rsid w:val="004F3B9C"/>
    <w:rsid w:val="004F4D1B"/>
    <w:rsid w:val="004F5D79"/>
    <w:rsid w:val="004F6F8B"/>
    <w:rsid w:val="004F7309"/>
    <w:rsid w:val="004F7C4F"/>
    <w:rsid w:val="004F7C5A"/>
    <w:rsid w:val="004F7E68"/>
    <w:rsid w:val="00500775"/>
    <w:rsid w:val="00500AC0"/>
    <w:rsid w:val="00504944"/>
    <w:rsid w:val="005053C9"/>
    <w:rsid w:val="00505B0A"/>
    <w:rsid w:val="00505F31"/>
    <w:rsid w:val="00506FCA"/>
    <w:rsid w:val="00510EB0"/>
    <w:rsid w:val="00511E57"/>
    <w:rsid w:val="00511FD7"/>
    <w:rsid w:val="0051425A"/>
    <w:rsid w:val="005146F9"/>
    <w:rsid w:val="005151EB"/>
    <w:rsid w:val="0051535D"/>
    <w:rsid w:val="00515EE5"/>
    <w:rsid w:val="00515EF3"/>
    <w:rsid w:val="005166FC"/>
    <w:rsid w:val="005167CD"/>
    <w:rsid w:val="00521E96"/>
    <w:rsid w:val="00522BAA"/>
    <w:rsid w:val="005234AC"/>
    <w:rsid w:val="00525A2F"/>
    <w:rsid w:val="005278AC"/>
    <w:rsid w:val="00527F7E"/>
    <w:rsid w:val="005315A3"/>
    <w:rsid w:val="0053187E"/>
    <w:rsid w:val="00531A76"/>
    <w:rsid w:val="0053263F"/>
    <w:rsid w:val="00532D7A"/>
    <w:rsid w:val="005345CD"/>
    <w:rsid w:val="005354DE"/>
    <w:rsid w:val="00535DA6"/>
    <w:rsid w:val="00536BD8"/>
    <w:rsid w:val="00541737"/>
    <w:rsid w:val="00541B49"/>
    <w:rsid w:val="00541D7E"/>
    <w:rsid w:val="00542A0D"/>
    <w:rsid w:val="00542DED"/>
    <w:rsid w:val="00545FD8"/>
    <w:rsid w:val="00546516"/>
    <w:rsid w:val="005468E9"/>
    <w:rsid w:val="00546EDF"/>
    <w:rsid w:val="005476BB"/>
    <w:rsid w:val="0055015E"/>
    <w:rsid w:val="00552132"/>
    <w:rsid w:val="0055224C"/>
    <w:rsid w:val="005527D5"/>
    <w:rsid w:val="00552880"/>
    <w:rsid w:val="00552EC8"/>
    <w:rsid w:val="0055309F"/>
    <w:rsid w:val="005530FE"/>
    <w:rsid w:val="00553AC2"/>
    <w:rsid w:val="00553E6B"/>
    <w:rsid w:val="00554E99"/>
    <w:rsid w:val="005553DD"/>
    <w:rsid w:val="00556754"/>
    <w:rsid w:val="00561DC2"/>
    <w:rsid w:val="00562FD5"/>
    <w:rsid w:val="00563186"/>
    <w:rsid w:val="0056552C"/>
    <w:rsid w:val="005657BF"/>
    <w:rsid w:val="00570371"/>
    <w:rsid w:val="005707E0"/>
    <w:rsid w:val="00574582"/>
    <w:rsid w:val="00574777"/>
    <w:rsid w:val="00574CC1"/>
    <w:rsid w:val="00576FFD"/>
    <w:rsid w:val="005818D9"/>
    <w:rsid w:val="005825C6"/>
    <w:rsid w:val="00582885"/>
    <w:rsid w:val="00583185"/>
    <w:rsid w:val="005831E3"/>
    <w:rsid w:val="00584921"/>
    <w:rsid w:val="00584978"/>
    <w:rsid w:val="00585198"/>
    <w:rsid w:val="00585F1B"/>
    <w:rsid w:val="00586276"/>
    <w:rsid w:val="0058630A"/>
    <w:rsid w:val="005864CE"/>
    <w:rsid w:val="00586E2B"/>
    <w:rsid w:val="00586FC3"/>
    <w:rsid w:val="00591B28"/>
    <w:rsid w:val="00592C00"/>
    <w:rsid w:val="00592F25"/>
    <w:rsid w:val="0059310B"/>
    <w:rsid w:val="005936E2"/>
    <w:rsid w:val="005A075B"/>
    <w:rsid w:val="005A0DD0"/>
    <w:rsid w:val="005A0E7D"/>
    <w:rsid w:val="005A196F"/>
    <w:rsid w:val="005A2653"/>
    <w:rsid w:val="005A36AE"/>
    <w:rsid w:val="005A3726"/>
    <w:rsid w:val="005A3934"/>
    <w:rsid w:val="005A4403"/>
    <w:rsid w:val="005A47D2"/>
    <w:rsid w:val="005A4B0F"/>
    <w:rsid w:val="005A61A6"/>
    <w:rsid w:val="005A7358"/>
    <w:rsid w:val="005A79D9"/>
    <w:rsid w:val="005B11B1"/>
    <w:rsid w:val="005B19E3"/>
    <w:rsid w:val="005B1A5F"/>
    <w:rsid w:val="005B22A0"/>
    <w:rsid w:val="005B2A68"/>
    <w:rsid w:val="005B2E24"/>
    <w:rsid w:val="005B2E8A"/>
    <w:rsid w:val="005B3715"/>
    <w:rsid w:val="005B4000"/>
    <w:rsid w:val="005B4707"/>
    <w:rsid w:val="005B583F"/>
    <w:rsid w:val="005B6F0F"/>
    <w:rsid w:val="005B71FE"/>
    <w:rsid w:val="005B7FD5"/>
    <w:rsid w:val="005C0030"/>
    <w:rsid w:val="005C1590"/>
    <w:rsid w:val="005C16B4"/>
    <w:rsid w:val="005C23CC"/>
    <w:rsid w:val="005C3128"/>
    <w:rsid w:val="005C3AFA"/>
    <w:rsid w:val="005C519E"/>
    <w:rsid w:val="005C5AFA"/>
    <w:rsid w:val="005C77E3"/>
    <w:rsid w:val="005C7CEC"/>
    <w:rsid w:val="005C7E66"/>
    <w:rsid w:val="005D0243"/>
    <w:rsid w:val="005D1809"/>
    <w:rsid w:val="005D2508"/>
    <w:rsid w:val="005D43E8"/>
    <w:rsid w:val="005D62D3"/>
    <w:rsid w:val="005D6984"/>
    <w:rsid w:val="005D7465"/>
    <w:rsid w:val="005D79B3"/>
    <w:rsid w:val="005D7FE4"/>
    <w:rsid w:val="005E10F4"/>
    <w:rsid w:val="005E70AC"/>
    <w:rsid w:val="005E713D"/>
    <w:rsid w:val="005E76A8"/>
    <w:rsid w:val="005F1FE4"/>
    <w:rsid w:val="005F20E0"/>
    <w:rsid w:val="005F449B"/>
    <w:rsid w:val="005F47F0"/>
    <w:rsid w:val="005F489F"/>
    <w:rsid w:val="005F4AC9"/>
    <w:rsid w:val="005F50B1"/>
    <w:rsid w:val="005F51C8"/>
    <w:rsid w:val="005F54A6"/>
    <w:rsid w:val="005F5C48"/>
    <w:rsid w:val="005F6F5E"/>
    <w:rsid w:val="005F7412"/>
    <w:rsid w:val="005F76F1"/>
    <w:rsid w:val="00600293"/>
    <w:rsid w:val="0060118C"/>
    <w:rsid w:val="00601782"/>
    <w:rsid w:val="00601B0F"/>
    <w:rsid w:val="00604F61"/>
    <w:rsid w:val="00605754"/>
    <w:rsid w:val="00607D57"/>
    <w:rsid w:val="00610616"/>
    <w:rsid w:val="00610BBD"/>
    <w:rsid w:val="00615373"/>
    <w:rsid w:val="0061611B"/>
    <w:rsid w:val="00617319"/>
    <w:rsid w:val="0061747E"/>
    <w:rsid w:val="00617B01"/>
    <w:rsid w:val="00617C82"/>
    <w:rsid w:val="00617E12"/>
    <w:rsid w:val="00617F6E"/>
    <w:rsid w:val="00620D6A"/>
    <w:rsid w:val="006212DE"/>
    <w:rsid w:val="006222CF"/>
    <w:rsid w:val="00623CEE"/>
    <w:rsid w:val="00623FB7"/>
    <w:rsid w:val="0062417C"/>
    <w:rsid w:val="0062460E"/>
    <w:rsid w:val="006259AB"/>
    <w:rsid w:val="00625C34"/>
    <w:rsid w:val="00627D6F"/>
    <w:rsid w:val="00627E81"/>
    <w:rsid w:val="00630182"/>
    <w:rsid w:val="00630504"/>
    <w:rsid w:val="00631565"/>
    <w:rsid w:val="00633C11"/>
    <w:rsid w:val="006341AF"/>
    <w:rsid w:val="006348D7"/>
    <w:rsid w:val="00640890"/>
    <w:rsid w:val="00640AEB"/>
    <w:rsid w:val="00640CB5"/>
    <w:rsid w:val="00641042"/>
    <w:rsid w:val="006412F8"/>
    <w:rsid w:val="00643FA8"/>
    <w:rsid w:val="00645286"/>
    <w:rsid w:val="00645415"/>
    <w:rsid w:val="006461C6"/>
    <w:rsid w:val="0065005F"/>
    <w:rsid w:val="006503EB"/>
    <w:rsid w:val="006509E1"/>
    <w:rsid w:val="0065116F"/>
    <w:rsid w:val="0065148E"/>
    <w:rsid w:val="00651C89"/>
    <w:rsid w:val="00652325"/>
    <w:rsid w:val="0065351A"/>
    <w:rsid w:val="00654177"/>
    <w:rsid w:val="00654E30"/>
    <w:rsid w:val="006552D2"/>
    <w:rsid w:val="006553E6"/>
    <w:rsid w:val="00656667"/>
    <w:rsid w:val="006613FE"/>
    <w:rsid w:val="006629DD"/>
    <w:rsid w:val="00662A00"/>
    <w:rsid w:val="00663BC1"/>
    <w:rsid w:val="00664BB0"/>
    <w:rsid w:val="00664EBE"/>
    <w:rsid w:val="00665CD3"/>
    <w:rsid w:val="0066628F"/>
    <w:rsid w:val="00667584"/>
    <w:rsid w:val="00670377"/>
    <w:rsid w:val="0067134C"/>
    <w:rsid w:val="0067228E"/>
    <w:rsid w:val="00672F27"/>
    <w:rsid w:val="006730A4"/>
    <w:rsid w:val="006730CA"/>
    <w:rsid w:val="006734DC"/>
    <w:rsid w:val="00677B8E"/>
    <w:rsid w:val="00680F53"/>
    <w:rsid w:val="006823C9"/>
    <w:rsid w:val="00682AAA"/>
    <w:rsid w:val="00683DB1"/>
    <w:rsid w:val="00684781"/>
    <w:rsid w:val="0068487D"/>
    <w:rsid w:val="006856F1"/>
    <w:rsid w:val="00685850"/>
    <w:rsid w:val="00685DC3"/>
    <w:rsid w:val="00690057"/>
    <w:rsid w:val="006911C8"/>
    <w:rsid w:val="006915A7"/>
    <w:rsid w:val="00691E36"/>
    <w:rsid w:val="006923A3"/>
    <w:rsid w:val="00692C09"/>
    <w:rsid w:val="0069396F"/>
    <w:rsid w:val="006939DB"/>
    <w:rsid w:val="00693AFF"/>
    <w:rsid w:val="0069447F"/>
    <w:rsid w:val="00694FA6"/>
    <w:rsid w:val="00695987"/>
    <w:rsid w:val="0069635D"/>
    <w:rsid w:val="006968BC"/>
    <w:rsid w:val="006977B3"/>
    <w:rsid w:val="006A13F2"/>
    <w:rsid w:val="006A2514"/>
    <w:rsid w:val="006A4AEA"/>
    <w:rsid w:val="006A5AF6"/>
    <w:rsid w:val="006A5C90"/>
    <w:rsid w:val="006A757E"/>
    <w:rsid w:val="006A7D4C"/>
    <w:rsid w:val="006B011C"/>
    <w:rsid w:val="006B1E3B"/>
    <w:rsid w:val="006B2D82"/>
    <w:rsid w:val="006B489C"/>
    <w:rsid w:val="006B7A72"/>
    <w:rsid w:val="006C00C2"/>
    <w:rsid w:val="006C0BFD"/>
    <w:rsid w:val="006C17EB"/>
    <w:rsid w:val="006C3BB6"/>
    <w:rsid w:val="006C498A"/>
    <w:rsid w:val="006C58B9"/>
    <w:rsid w:val="006C722E"/>
    <w:rsid w:val="006C76D2"/>
    <w:rsid w:val="006C7D4B"/>
    <w:rsid w:val="006D0531"/>
    <w:rsid w:val="006D08B1"/>
    <w:rsid w:val="006D23BD"/>
    <w:rsid w:val="006D2F46"/>
    <w:rsid w:val="006D5378"/>
    <w:rsid w:val="006D6A3A"/>
    <w:rsid w:val="006D6A9B"/>
    <w:rsid w:val="006D6F7A"/>
    <w:rsid w:val="006D7AB0"/>
    <w:rsid w:val="006D7AF3"/>
    <w:rsid w:val="006E07CE"/>
    <w:rsid w:val="006E17F0"/>
    <w:rsid w:val="006E2449"/>
    <w:rsid w:val="006E2581"/>
    <w:rsid w:val="006E2CE6"/>
    <w:rsid w:val="006E3235"/>
    <w:rsid w:val="006E3F95"/>
    <w:rsid w:val="006E46B1"/>
    <w:rsid w:val="006E4D3F"/>
    <w:rsid w:val="006E5952"/>
    <w:rsid w:val="006E62FC"/>
    <w:rsid w:val="006E747E"/>
    <w:rsid w:val="006E74BE"/>
    <w:rsid w:val="006E78EB"/>
    <w:rsid w:val="006E7AD5"/>
    <w:rsid w:val="006F0558"/>
    <w:rsid w:val="006F1138"/>
    <w:rsid w:val="006F1885"/>
    <w:rsid w:val="006F2461"/>
    <w:rsid w:val="006F285E"/>
    <w:rsid w:val="006F2CDB"/>
    <w:rsid w:val="006F488A"/>
    <w:rsid w:val="006F51CD"/>
    <w:rsid w:val="006F53C1"/>
    <w:rsid w:val="006F6C19"/>
    <w:rsid w:val="006F6EE3"/>
    <w:rsid w:val="006F73D2"/>
    <w:rsid w:val="00702BE3"/>
    <w:rsid w:val="00704D43"/>
    <w:rsid w:val="00704F3F"/>
    <w:rsid w:val="00706038"/>
    <w:rsid w:val="007060D2"/>
    <w:rsid w:val="00706D7A"/>
    <w:rsid w:val="007073CA"/>
    <w:rsid w:val="0071067E"/>
    <w:rsid w:val="007147AC"/>
    <w:rsid w:val="00716145"/>
    <w:rsid w:val="007161D7"/>
    <w:rsid w:val="007173C3"/>
    <w:rsid w:val="00721E68"/>
    <w:rsid w:val="00721ED0"/>
    <w:rsid w:val="00722462"/>
    <w:rsid w:val="007244C1"/>
    <w:rsid w:val="0072511C"/>
    <w:rsid w:val="00725686"/>
    <w:rsid w:val="00725CB3"/>
    <w:rsid w:val="00727D04"/>
    <w:rsid w:val="00731069"/>
    <w:rsid w:val="00731F3C"/>
    <w:rsid w:val="0073265D"/>
    <w:rsid w:val="00732CB0"/>
    <w:rsid w:val="00733B73"/>
    <w:rsid w:val="00733BE5"/>
    <w:rsid w:val="007344C1"/>
    <w:rsid w:val="007355A5"/>
    <w:rsid w:val="00736326"/>
    <w:rsid w:val="00736341"/>
    <w:rsid w:val="007364E9"/>
    <w:rsid w:val="00737626"/>
    <w:rsid w:val="007376A4"/>
    <w:rsid w:val="0074048C"/>
    <w:rsid w:val="00741661"/>
    <w:rsid w:val="0074198E"/>
    <w:rsid w:val="00741F64"/>
    <w:rsid w:val="00743A70"/>
    <w:rsid w:val="007444D7"/>
    <w:rsid w:val="007457F3"/>
    <w:rsid w:val="00747B55"/>
    <w:rsid w:val="00747D95"/>
    <w:rsid w:val="007503A1"/>
    <w:rsid w:val="007511E0"/>
    <w:rsid w:val="0075218F"/>
    <w:rsid w:val="007521B4"/>
    <w:rsid w:val="0075230D"/>
    <w:rsid w:val="0075345E"/>
    <w:rsid w:val="00754CA7"/>
    <w:rsid w:val="0075612C"/>
    <w:rsid w:val="0075640C"/>
    <w:rsid w:val="00756511"/>
    <w:rsid w:val="00757391"/>
    <w:rsid w:val="00757473"/>
    <w:rsid w:val="007574F7"/>
    <w:rsid w:val="00757975"/>
    <w:rsid w:val="00761D4E"/>
    <w:rsid w:val="007625B4"/>
    <w:rsid w:val="00763072"/>
    <w:rsid w:val="007636B2"/>
    <w:rsid w:val="00763A9D"/>
    <w:rsid w:val="00765424"/>
    <w:rsid w:val="00766562"/>
    <w:rsid w:val="00770111"/>
    <w:rsid w:val="007716E5"/>
    <w:rsid w:val="00775E29"/>
    <w:rsid w:val="0077662D"/>
    <w:rsid w:val="00777E33"/>
    <w:rsid w:val="00781110"/>
    <w:rsid w:val="007828D0"/>
    <w:rsid w:val="00784E87"/>
    <w:rsid w:val="007857CA"/>
    <w:rsid w:val="00786C50"/>
    <w:rsid w:val="00786E76"/>
    <w:rsid w:val="00790229"/>
    <w:rsid w:val="00790933"/>
    <w:rsid w:val="007915B0"/>
    <w:rsid w:val="00793135"/>
    <w:rsid w:val="007946C1"/>
    <w:rsid w:val="00795F90"/>
    <w:rsid w:val="007965CC"/>
    <w:rsid w:val="00796C6D"/>
    <w:rsid w:val="0079732D"/>
    <w:rsid w:val="00797DEF"/>
    <w:rsid w:val="007A04A0"/>
    <w:rsid w:val="007A1690"/>
    <w:rsid w:val="007A1AE0"/>
    <w:rsid w:val="007A3EC8"/>
    <w:rsid w:val="007A4F27"/>
    <w:rsid w:val="007A6867"/>
    <w:rsid w:val="007A6A33"/>
    <w:rsid w:val="007B0205"/>
    <w:rsid w:val="007B0EBE"/>
    <w:rsid w:val="007B1510"/>
    <w:rsid w:val="007B1E2E"/>
    <w:rsid w:val="007B2E0D"/>
    <w:rsid w:val="007B33D6"/>
    <w:rsid w:val="007B4264"/>
    <w:rsid w:val="007B43E9"/>
    <w:rsid w:val="007B6126"/>
    <w:rsid w:val="007B663F"/>
    <w:rsid w:val="007B6896"/>
    <w:rsid w:val="007B6E26"/>
    <w:rsid w:val="007B71CF"/>
    <w:rsid w:val="007B7DFC"/>
    <w:rsid w:val="007C012C"/>
    <w:rsid w:val="007C04BF"/>
    <w:rsid w:val="007C08A8"/>
    <w:rsid w:val="007C13B5"/>
    <w:rsid w:val="007C1D0A"/>
    <w:rsid w:val="007C254B"/>
    <w:rsid w:val="007C2716"/>
    <w:rsid w:val="007C2854"/>
    <w:rsid w:val="007C299B"/>
    <w:rsid w:val="007C3F17"/>
    <w:rsid w:val="007C541F"/>
    <w:rsid w:val="007C5D11"/>
    <w:rsid w:val="007C5EEB"/>
    <w:rsid w:val="007C6874"/>
    <w:rsid w:val="007C6F59"/>
    <w:rsid w:val="007D440C"/>
    <w:rsid w:val="007D452A"/>
    <w:rsid w:val="007D4AC6"/>
    <w:rsid w:val="007D510B"/>
    <w:rsid w:val="007D6EA0"/>
    <w:rsid w:val="007E14CA"/>
    <w:rsid w:val="007E1910"/>
    <w:rsid w:val="007E1990"/>
    <w:rsid w:val="007E378F"/>
    <w:rsid w:val="007E3A0B"/>
    <w:rsid w:val="007E3CEB"/>
    <w:rsid w:val="007E4B54"/>
    <w:rsid w:val="007E4CA5"/>
    <w:rsid w:val="007E4D18"/>
    <w:rsid w:val="007E6A9F"/>
    <w:rsid w:val="007E6FBA"/>
    <w:rsid w:val="007E75C5"/>
    <w:rsid w:val="007F040A"/>
    <w:rsid w:val="007F1082"/>
    <w:rsid w:val="007F2DE5"/>
    <w:rsid w:val="007F39A1"/>
    <w:rsid w:val="007F5058"/>
    <w:rsid w:val="007F71F0"/>
    <w:rsid w:val="007F77E1"/>
    <w:rsid w:val="007F79F5"/>
    <w:rsid w:val="007F7A13"/>
    <w:rsid w:val="00802677"/>
    <w:rsid w:val="00802AB0"/>
    <w:rsid w:val="00802F71"/>
    <w:rsid w:val="00803213"/>
    <w:rsid w:val="00803E4F"/>
    <w:rsid w:val="0080415B"/>
    <w:rsid w:val="008043DC"/>
    <w:rsid w:val="00806850"/>
    <w:rsid w:val="00807336"/>
    <w:rsid w:val="00813AD2"/>
    <w:rsid w:val="008146D3"/>
    <w:rsid w:val="00814F4D"/>
    <w:rsid w:val="008152A0"/>
    <w:rsid w:val="0081697B"/>
    <w:rsid w:val="00817241"/>
    <w:rsid w:val="00817739"/>
    <w:rsid w:val="00817A13"/>
    <w:rsid w:val="008251D4"/>
    <w:rsid w:val="00825455"/>
    <w:rsid w:val="008255A3"/>
    <w:rsid w:val="00826813"/>
    <w:rsid w:val="00834EEF"/>
    <w:rsid w:val="00836013"/>
    <w:rsid w:val="00836A7A"/>
    <w:rsid w:val="00842137"/>
    <w:rsid w:val="0084233F"/>
    <w:rsid w:val="008423D9"/>
    <w:rsid w:val="0084267A"/>
    <w:rsid w:val="008441EC"/>
    <w:rsid w:val="0084557F"/>
    <w:rsid w:val="0084590C"/>
    <w:rsid w:val="008470AC"/>
    <w:rsid w:val="0084772E"/>
    <w:rsid w:val="00855577"/>
    <w:rsid w:val="00855832"/>
    <w:rsid w:val="00856A9B"/>
    <w:rsid w:val="00861847"/>
    <w:rsid w:val="00861D6D"/>
    <w:rsid w:val="0086215A"/>
    <w:rsid w:val="008625C7"/>
    <w:rsid w:val="00863419"/>
    <w:rsid w:val="00863D0C"/>
    <w:rsid w:val="00866226"/>
    <w:rsid w:val="0087022A"/>
    <w:rsid w:val="0087096E"/>
    <w:rsid w:val="0087111C"/>
    <w:rsid w:val="0087147A"/>
    <w:rsid w:val="00871CDC"/>
    <w:rsid w:val="00872472"/>
    <w:rsid w:val="00873425"/>
    <w:rsid w:val="00877BF5"/>
    <w:rsid w:val="0088147A"/>
    <w:rsid w:val="00882BF7"/>
    <w:rsid w:val="00882C8F"/>
    <w:rsid w:val="00882D04"/>
    <w:rsid w:val="00884917"/>
    <w:rsid w:val="0088681B"/>
    <w:rsid w:val="00886D76"/>
    <w:rsid w:val="00887206"/>
    <w:rsid w:val="00887706"/>
    <w:rsid w:val="0089181E"/>
    <w:rsid w:val="00894ABD"/>
    <w:rsid w:val="0089572A"/>
    <w:rsid w:val="008958F5"/>
    <w:rsid w:val="00897386"/>
    <w:rsid w:val="0089797F"/>
    <w:rsid w:val="008A02DB"/>
    <w:rsid w:val="008A1F5B"/>
    <w:rsid w:val="008A2660"/>
    <w:rsid w:val="008A35BE"/>
    <w:rsid w:val="008A3E2F"/>
    <w:rsid w:val="008A46F7"/>
    <w:rsid w:val="008A560A"/>
    <w:rsid w:val="008A6B8E"/>
    <w:rsid w:val="008A7E5E"/>
    <w:rsid w:val="008B3C23"/>
    <w:rsid w:val="008B3D37"/>
    <w:rsid w:val="008B54D7"/>
    <w:rsid w:val="008B57CD"/>
    <w:rsid w:val="008B5E77"/>
    <w:rsid w:val="008B5E94"/>
    <w:rsid w:val="008B6A4E"/>
    <w:rsid w:val="008C0630"/>
    <w:rsid w:val="008C3631"/>
    <w:rsid w:val="008C4B00"/>
    <w:rsid w:val="008C5683"/>
    <w:rsid w:val="008C748A"/>
    <w:rsid w:val="008C74AF"/>
    <w:rsid w:val="008D02C8"/>
    <w:rsid w:val="008D0DE3"/>
    <w:rsid w:val="008D1E9D"/>
    <w:rsid w:val="008D267D"/>
    <w:rsid w:val="008D2A93"/>
    <w:rsid w:val="008D3380"/>
    <w:rsid w:val="008D5F9D"/>
    <w:rsid w:val="008D72FE"/>
    <w:rsid w:val="008D7A9C"/>
    <w:rsid w:val="008E004E"/>
    <w:rsid w:val="008E2AD5"/>
    <w:rsid w:val="008E389D"/>
    <w:rsid w:val="008E4609"/>
    <w:rsid w:val="008E5310"/>
    <w:rsid w:val="008E5FAD"/>
    <w:rsid w:val="008E61A9"/>
    <w:rsid w:val="008E673D"/>
    <w:rsid w:val="008F1074"/>
    <w:rsid w:val="008F1533"/>
    <w:rsid w:val="008F1D46"/>
    <w:rsid w:val="008F3DCD"/>
    <w:rsid w:val="008F51A5"/>
    <w:rsid w:val="008F6925"/>
    <w:rsid w:val="008F6F19"/>
    <w:rsid w:val="008F72EF"/>
    <w:rsid w:val="008F730B"/>
    <w:rsid w:val="008F7A5D"/>
    <w:rsid w:val="00900D9A"/>
    <w:rsid w:val="00901DE2"/>
    <w:rsid w:val="0090236C"/>
    <w:rsid w:val="009026AD"/>
    <w:rsid w:val="0090541D"/>
    <w:rsid w:val="009054B8"/>
    <w:rsid w:val="009101C1"/>
    <w:rsid w:val="00910519"/>
    <w:rsid w:val="00910B88"/>
    <w:rsid w:val="00911107"/>
    <w:rsid w:val="0091331B"/>
    <w:rsid w:val="00913443"/>
    <w:rsid w:val="00913919"/>
    <w:rsid w:val="00914219"/>
    <w:rsid w:val="0091458B"/>
    <w:rsid w:val="00914878"/>
    <w:rsid w:val="009149DA"/>
    <w:rsid w:val="00914C82"/>
    <w:rsid w:val="00915FF3"/>
    <w:rsid w:val="00917D96"/>
    <w:rsid w:val="00920A97"/>
    <w:rsid w:val="00921BBA"/>
    <w:rsid w:val="00923521"/>
    <w:rsid w:val="00923BFF"/>
    <w:rsid w:val="00924654"/>
    <w:rsid w:val="0092580E"/>
    <w:rsid w:val="009261BF"/>
    <w:rsid w:val="009268CF"/>
    <w:rsid w:val="00926B75"/>
    <w:rsid w:val="009276A8"/>
    <w:rsid w:val="009301E4"/>
    <w:rsid w:val="00930A61"/>
    <w:rsid w:val="00930D70"/>
    <w:rsid w:val="00932FB4"/>
    <w:rsid w:val="009335A7"/>
    <w:rsid w:val="00934652"/>
    <w:rsid w:val="00934E60"/>
    <w:rsid w:val="0093621F"/>
    <w:rsid w:val="009375C4"/>
    <w:rsid w:val="00937DD0"/>
    <w:rsid w:val="00940C26"/>
    <w:rsid w:val="0094161D"/>
    <w:rsid w:val="00942C2C"/>
    <w:rsid w:val="00943987"/>
    <w:rsid w:val="00944FFC"/>
    <w:rsid w:val="00950149"/>
    <w:rsid w:val="00951B84"/>
    <w:rsid w:val="00952A67"/>
    <w:rsid w:val="00956908"/>
    <w:rsid w:val="0095717A"/>
    <w:rsid w:val="00957DE8"/>
    <w:rsid w:val="00960790"/>
    <w:rsid w:val="00960E06"/>
    <w:rsid w:val="00961428"/>
    <w:rsid w:val="00963271"/>
    <w:rsid w:val="009639A1"/>
    <w:rsid w:val="00966D4C"/>
    <w:rsid w:val="009674BE"/>
    <w:rsid w:val="00970037"/>
    <w:rsid w:val="009719EB"/>
    <w:rsid w:val="00973A76"/>
    <w:rsid w:val="00975724"/>
    <w:rsid w:val="00975B67"/>
    <w:rsid w:val="00976557"/>
    <w:rsid w:val="0097741C"/>
    <w:rsid w:val="00977562"/>
    <w:rsid w:val="0097795F"/>
    <w:rsid w:val="009828B4"/>
    <w:rsid w:val="00982F4D"/>
    <w:rsid w:val="00985A6C"/>
    <w:rsid w:val="00985FB9"/>
    <w:rsid w:val="009869B9"/>
    <w:rsid w:val="009873DE"/>
    <w:rsid w:val="009915BB"/>
    <w:rsid w:val="00993AF9"/>
    <w:rsid w:val="0099454B"/>
    <w:rsid w:val="0099627A"/>
    <w:rsid w:val="009975EF"/>
    <w:rsid w:val="00997DE3"/>
    <w:rsid w:val="009A5600"/>
    <w:rsid w:val="009A718F"/>
    <w:rsid w:val="009B0593"/>
    <w:rsid w:val="009B2F53"/>
    <w:rsid w:val="009B5C2D"/>
    <w:rsid w:val="009B6178"/>
    <w:rsid w:val="009B6658"/>
    <w:rsid w:val="009B6D0A"/>
    <w:rsid w:val="009B756E"/>
    <w:rsid w:val="009C03D7"/>
    <w:rsid w:val="009C25BA"/>
    <w:rsid w:val="009C3E03"/>
    <w:rsid w:val="009C40F6"/>
    <w:rsid w:val="009C42D4"/>
    <w:rsid w:val="009C48AA"/>
    <w:rsid w:val="009C4AFD"/>
    <w:rsid w:val="009C7CA6"/>
    <w:rsid w:val="009D297C"/>
    <w:rsid w:val="009D2CDA"/>
    <w:rsid w:val="009D6249"/>
    <w:rsid w:val="009D6CAB"/>
    <w:rsid w:val="009D71F5"/>
    <w:rsid w:val="009D7643"/>
    <w:rsid w:val="009E296C"/>
    <w:rsid w:val="009E3F8B"/>
    <w:rsid w:val="009E4D06"/>
    <w:rsid w:val="009E5A9E"/>
    <w:rsid w:val="009E6666"/>
    <w:rsid w:val="009E6B13"/>
    <w:rsid w:val="009E6C38"/>
    <w:rsid w:val="009E74F3"/>
    <w:rsid w:val="009E7ABE"/>
    <w:rsid w:val="009F0213"/>
    <w:rsid w:val="009F0DD2"/>
    <w:rsid w:val="009F0F68"/>
    <w:rsid w:val="009F14AA"/>
    <w:rsid w:val="009F29D6"/>
    <w:rsid w:val="009F2B3A"/>
    <w:rsid w:val="009F4B82"/>
    <w:rsid w:val="009F4D27"/>
    <w:rsid w:val="009F5CA3"/>
    <w:rsid w:val="009F61B2"/>
    <w:rsid w:val="009F683A"/>
    <w:rsid w:val="00A00AE9"/>
    <w:rsid w:val="00A01C46"/>
    <w:rsid w:val="00A01FB1"/>
    <w:rsid w:val="00A047DC"/>
    <w:rsid w:val="00A04A8C"/>
    <w:rsid w:val="00A06183"/>
    <w:rsid w:val="00A11B77"/>
    <w:rsid w:val="00A124DF"/>
    <w:rsid w:val="00A128E0"/>
    <w:rsid w:val="00A12AD7"/>
    <w:rsid w:val="00A1312D"/>
    <w:rsid w:val="00A13BC5"/>
    <w:rsid w:val="00A14443"/>
    <w:rsid w:val="00A14D97"/>
    <w:rsid w:val="00A16C28"/>
    <w:rsid w:val="00A171B4"/>
    <w:rsid w:val="00A1777E"/>
    <w:rsid w:val="00A17C8F"/>
    <w:rsid w:val="00A20362"/>
    <w:rsid w:val="00A20614"/>
    <w:rsid w:val="00A21327"/>
    <w:rsid w:val="00A21E8B"/>
    <w:rsid w:val="00A223C2"/>
    <w:rsid w:val="00A26A7D"/>
    <w:rsid w:val="00A27724"/>
    <w:rsid w:val="00A27E65"/>
    <w:rsid w:val="00A27EEB"/>
    <w:rsid w:val="00A34447"/>
    <w:rsid w:val="00A348F7"/>
    <w:rsid w:val="00A3544C"/>
    <w:rsid w:val="00A37371"/>
    <w:rsid w:val="00A40343"/>
    <w:rsid w:val="00A40760"/>
    <w:rsid w:val="00A415F3"/>
    <w:rsid w:val="00A416E7"/>
    <w:rsid w:val="00A4197A"/>
    <w:rsid w:val="00A423F8"/>
    <w:rsid w:val="00A435B7"/>
    <w:rsid w:val="00A43CEB"/>
    <w:rsid w:val="00A440F7"/>
    <w:rsid w:val="00A44FCA"/>
    <w:rsid w:val="00A4547C"/>
    <w:rsid w:val="00A459EE"/>
    <w:rsid w:val="00A50462"/>
    <w:rsid w:val="00A50BA2"/>
    <w:rsid w:val="00A51AFC"/>
    <w:rsid w:val="00A54024"/>
    <w:rsid w:val="00A5428B"/>
    <w:rsid w:val="00A54DFA"/>
    <w:rsid w:val="00A552A0"/>
    <w:rsid w:val="00A5540B"/>
    <w:rsid w:val="00A556BC"/>
    <w:rsid w:val="00A60436"/>
    <w:rsid w:val="00A60C9B"/>
    <w:rsid w:val="00A619FF"/>
    <w:rsid w:val="00A621C5"/>
    <w:rsid w:val="00A63CB1"/>
    <w:rsid w:val="00A646A6"/>
    <w:rsid w:val="00A64B39"/>
    <w:rsid w:val="00A65348"/>
    <w:rsid w:val="00A6568B"/>
    <w:rsid w:val="00A662CA"/>
    <w:rsid w:val="00A700C1"/>
    <w:rsid w:val="00A71155"/>
    <w:rsid w:val="00A71750"/>
    <w:rsid w:val="00A72050"/>
    <w:rsid w:val="00A73684"/>
    <w:rsid w:val="00A736AD"/>
    <w:rsid w:val="00A73900"/>
    <w:rsid w:val="00A74CA3"/>
    <w:rsid w:val="00A773C2"/>
    <w:rsid w:val="00A77C28"/>
    <w:rsid w:val="00A81823"/>
    <w:rsid w:val="00A81829"/>
    <w:rsid w:val="00A8257C"/>
    <w:rsid w:val="00A83458"/>
    <w:rsid w:val="00A8349D"/>
    <w:rsid w:val="00A84448"/>
    <w:rsid w:val="00A848CA"/>
    <w:rsid w:val="00A8710E"/>
    <w:rsid w:val="00A87FBA"/>
    <w:rsid w:val="00A901F7"/>
    <w:rsid w:val="00A91005"/>
    <w:rsid w:val="00A912AD"/>
    <w:rsid w:val="00A945DD"/>
    <w:rsid w:val="00A94898"/>
    <w:rsid w:val="00A94B27"/>
    <w:rsid w:val="00A94B69"/>
    <w:rsid w:val="00A94C40"/>
    <w:rsid w:val="00A94FB1"/>
    <w:rsid w:val="00A95687"/>
    <w:rsid w:val="00A9680C"/>
    <w:rsid w:val="00A97031"/>
    <w:rsid w:val="00A97775"/>
    <w:rsid w:val="00A97E05"/>
    <w:rsid w:val="00AA0200"/>
    <w:rsid w:val="00AA02BE"/>
    <w:rsid w:val="00AA1ABB"/>
    <w:rsid w:val="00AA1C23"/>
    <w:rsid w:val="00AA4361"/>
    <w:rsid w:val="00AA4700"/>
    <w:rsid w:val="00AA4C43"/>
    <w:rsid w:val="00AA5E44"/>
    <w:rsid w:val="00AA672B"/>
    <w:rsid w:val="00AB2871"/>
    <w:rsid w:val="00AB2A08"/>
    <w:rsid w:val="00AB2A35"/>
    <w:rsid w:val="00AB2BD5"/>
    <w:rsid w:val="00AB3145"/>
    <w:rsid w:val="00AB317D"/>
    <w:rsid w:val="00AB3751"/>
    <w:rsid w:val="00AB4A16"/>
    <w:rsid w:val="00AB51B3"/>
    <w:rsid w:val="00AB5DBA"/>
    <w:rsid w:val="00AB5EF9"/>
    <w:rsid w:val="00AB6A3E"/>
    <w:rsid w:val="00AB6D16"/>
    <w:rsid w:val="00AB720B"/>
    <w:rsid w:val="00AC1C92"/>
    <w:rsid w:val="00AC3302"/>
    <w:rsid w:val="00AC6E70"/>
    <w:rsid w:val="00AC74BF"/>
    <w:rsid w:val="00AD01D4"/>
    <w:rsid w:val="00AD20C4"/>
    <w:rsid w:val="00AD21BE"/>
    <w:rsid w:val="00AD385A"/>
    <w:rsid w:val="00AD3FC7"/>
    <w:rsid w:val="00AD47C8"/>
    <w:rsid w:val="00AD56FA"/>
    <w:rsid w:val="00AD5D1E"/>
    <w:rsid w:val="00AD6081"/>
    <w:rsid w:val="00AD72EB"/>
    <w:rsid w:val="00AE02A9"/>
    <w:rsid w:val="00AE0954"/>
    <w:rsid w:val="00AE130E"/>
    <w:rsid w:val="00AE161C"/>
    <w:rsid w:val="00AE4A3B"/>
    <w:rsid w:val="00AE51B0"/>
    <w:rsid w:val="00AE5F1F"/>
    <w:rsid w:val="00AE67E5"/>
    <w:rsid w:val="00AF1295"/>
    <w:rsid w:val="00AF1588"/>
    <w:rsid w:val="00AF22E0"/>
    <w:rsid w:val="00AF2438"/>
    <w:rsid w:val="00AF3224"/>
    <w:rsid w:val="00AF4B5B"/>
    <w:rsid w:val="00B02254"/>
    <w:rsid w:val="00B04E1D"/>
    <w:rsid w:val="00B05826"/>
    <w:rsid w:val="00B059F4"/>
    <w:rsid w:val="00B0621B"/>
    <w:rsid w:val="00B0638F"/>
    <w:rsid w:val="00B07F2F"/>
    <w:rsid w:val="00B10ABF"/>
    <w:rsid w:val="00B12831"/>
    <w:rsid w:val="00B13683"/>
    <w:rsid w:val="00B13CBF"/>
    <w:rsid w:val="00B13E9E"/>
    <w:rsid w:val="00B14E75"/>
    <w:rsid w:val="00B15173"/>
    <w:rsid w:val="00B15E51"/>
    <w:rsid w:val="00B16183"/>
    <w:rsid w:val="00B167C9"/>
    <w:rsid w:val="00B20452"/>
    <w:rsid w:val="00B20740"/>
    <w:rsid w:val="00B2088A"/>
    <w:rsid w:val="00B2323D"/>
    <w:rsid w:val="00B2366B"/>
    <w:rsid w:val="00B2428A"/>
    <w:rsid w:val="00B2652E"/>
    <w:rsid w:val="00B26A9F"/>
    <w:rsid w:val="00B273F1"/>
    <w:rsid w:val="00B274E3"/>
    <w:rsid w:val="00B300A5"/>
    <w:rsid w:val="00B34B22"/>
    <w:rsid w:val="00B34D80"/>
    <w:rsid w:val="00B3682F"/>
    <w:rsid w:val="00B369DB"/>
    <w:rsid w:val="00B408B8"/>
    <w:rsid w:val="00B40F0D"/>
    <w:rsid w:val="00B438A2"/>
    <w:rsid w:val="00B469A4"/>
    <w:rsid w:val="00B4732C"/>
    <w:rsid w:val="00B51B59"/>
    <w:rsid w:val="00B51C9E"/>
    <w:rsid w:val="00B51D27"/>
    <w:rsid w:val="00B53B19"/>
    <w:rsid w:val="00B53FB6"/>
    <w:rsid w:val="00B54AA4"/>
    <w:rsid w:val="00B56EAB"/>
    <w:rsid w:val="00B573B8"/>
    <w:rsid w:val="00B575A6"/>
    <w:rsid w:val="00B615F5"/>
    <w:rsid w:val="00B61E76"/>
    <w:rsid w:val="00B62512"/>
    <w:rsid w:val="00B637DC"/>
    <w:rsid w:val="00B63876"/>
    <w:rsid w:val="00B64A69"/>
    <w:rsid w:val="00B668B9"/>
    <w:rsid w:val="00B703C9"/>
    <w:rsid w:val="00B708D8"/>
    <w:rsid w:val="00B7155D"/>
    <w:rsid w:val="00B71C5F"/>
    <w:rsid w:val="00B73B3C"/>
    <w:rsid w:val="00B740AE"/>
    <w:rsid w:val="00B74A90"/>
    <w:rsid w:val="00B76BB1"/>
    <w:rsid w:val="00B80BB1"/>
    <w:rsid w:val="00B80E7E"/>
    <w:rsid w:val="00B81EC6"/>
    <w:rsid w:val="00B82083"/>
    <w:rsid w:val="00B83CEA"/>
    <w:rsid w:val="00B855A5"/>
    <w:rsid w:val="00B8715D"/>
    <w:rsid w:val="00B904DB"/>
    <w:rsid w:val="00B92AAF"/>
    <w:rsid w:val="00B92CE2"/>
    <w:rsid w:val="00B953CD"/>
    <w:rsid w:val="00B95544"/>
    <w:rsid w:val="00B96459"/>
    <w:rsid w:val="00B96E1A"/>
    <w:rsid w:val="00B97CDB"/>
    <w:rsid w:val="00B97D84"/>
    <w:rsid w:val="00BA02C4"/>
    <w:rsid w:val="00BA06DE"/>
    <w:rsid w:val="00BA13FA"/>
    <w:rsid w:val="00BA2610"/>
    <w:rsid w:val="00BA2C35"/>
    <w:rsid w:val="00BA3189"/>
    <w:rsid w:val="00BA4E56"/>
    <w:rsid w:val="00BA5209"/>
    <w:rsid w:val="00BA7388"/>
    <w:rsid w:val="00BB29A0"/>
    <w:rsid w:val="00BB3A70"/>
    <w:rsid w:val="00BB48F2"/>
    <w:rsid w:val="00BB4F06"/>
    <w:rsid w:val="00BB564A"/>
    <w:rsid w:val="00BB6646"/>
    <w:rsid w:val="00BB7194"/>
    <w:rsid w:val="00BB7E4E"/>
    <w:rsid w:val="00BB7F5E"/>
    <w:rsid w:val="00BC21FF"/>
    <w:rsid w:val="00BC38C0"/>
    <w:rsid w:val="00BC4190"/>
    <w:rsid w:val="00BC429B"/>
    <w:rsid w:val="00BC5685"/>
    <w:rsid w:val="00BC7C40"/>
    <w:rsid w:val="00BD107F"/>
    <w:rsid w:val="00BD2868"/>
    <w:rsid w:val="00BD3873"/>
    <w:rsid w:val="00BD3C3F"/>
    <w:rsid w:val="00BD4955"/>
    <w:rsid w:val="00BD56EE"/>
    <w:rsid w:val="00BD6AB1"/>
    <w:rsid w:val="00BE00AE"/>
    <w:rsid w:val="00BE0C25"/>
    <w:rsid w:val="00BE0E79"/>
    <w:rsid w:val="00BE1010"/>
    <w:rsid w:val="00BF0F1D"/>
    <w:rsid w:val="00BF2453"/>
    <w:rsid w:val="00BF252F"/>
    <w:rsid w:val="00BF29BD"/>
    <w:rsid w:val="00BF303B"/>
    <w:rsid w:val="00BF3A9B"/>
    <w:rsid w:val="00BF41B3"/>
    <w:rsid w:val="00BF52B7"/>
    <w:rsid w:val="00BF6684"/>
    <w:rsid w:val="00BF739E"/>
    <w:rsid w:val="00BF7442"/>
    <w:rsid w:val="00BF76F9"/>
    <w:rsid w:val="00BF7DC4"/>
    <w:rsid w:val="00BF7E77"/>
    <w:rsid w:val="00C00EB6"/>
    <w:rsid w:val="00C02CDD"/>
    <w:rsid w:val="00C035D4"/>
    <w:rsid w:val="00C04555"/>
    <w:rsid w:val="00C048D5"/>
    <w:rsid w:val="00C05D98"/>
    <w:rsid w:val="00C0668E"/>
    <w:rsid w:val="00C076D8"/>
    <w:rsid w:val="00C1140D"/>
    <w:rsid w:val="00C11C36"/>
    <w:rsid w:val="00C1234B"/>
    <w:rsid w:val="00C13FD0"/>
    <w:rsid w:val="00C1647E"/>
    <w:rsid w:val="00C16FED"/>
    <w:rsid w:val="00C173FB"/>
    <w:rsid w:val="00C17C0C"/>
    <w:rsid w:val="00C17C46"/>
    <w:rsid w:val="00C203B8"/>
    <w:rsid w:val="00C20400"/>
    <w:rsid w:val="00C2056C"/>
    <w:rsid w:val="00C209BD"/>
    <w:rsid w:val="00C22117"/>
    <w:rsid w:val="00C244C2"/>
    <w:rsid w:val="00C24756"/>
    <w:rsid w:val="00C24764"/>
    <w:rsid w:val="00C26D03"/>
    <w:rsid w:val="00C26EC5"/>
    <w:rsid w:val="00C30ADD"/>
    <w:rsid w:val="00C3171C"/>
    <w:rsid w:val="00C319FD"/>
    <w:rsid w:val="00C32130"/>
    <w:rsid w:val="00C3338E"/>
    <w:rsid w:val="00C34BD8"/>
    <w:rsid w:val="00C364B0"/>
    <w:rsid w:val="00C3714A"/>
    <w:rsid w:val="00C41A7D"/>
    <w:rsid w:val="00C422C2"/>
    <w:rsid w:val="00C426E1"/>
    <w:rsid w:val="00C42A87"/>
    <w:rsid w:val="00C44494"/>
    <w:rsid w:val="00C44B37"/>
    <w:rsid w:val="00C4514F"/>
    <w:rsid w:val="00C45893"/>
    <w:rsid w:val="00C46213"/>
    <w:rsid w:val="00C46BF5"/>
    <w:rsid w:val="00C50234"/>
    <w:rsid w:val="00C507E6"/>
    <w:rsid w:val="00C5177F"/>
    <w:rsid w:val="00C52C62"/>
    <w:rsid w:val="00C53499"/>
    <w:rsid w:val="00C57973"/>
    <w:rsid w:val="00C57BB8"/>
    <w:rsid w:val="00C57C50"/>
    <w:rsid w:val="00C60B36"/>
    <w:rsid w:val="00C626DC"/>
    <w:rsid w:val="00C63BB4"/>
    <w:rsid w:val="00C6442A"/>
    <w:rsid w:val="00C64ADC"/>
    <w:rsid w:val="00C64D9E"/>
    <w:rsid w:val="00C659CE"/>
    <w:rsid w:val="00C66EFD"/>
    <w:rsid w:val="00C675A6"/>
    <w:rsid w:val="00C703BD"/>
    <w:rsid w:val="00C71456"/>
    <w:rsid w:val="00C71599"/>
    <w:rsid w:val="00C71DCD"/>
    <w:rsid w:val="00C720A9"/>
    <w:rsid w:val="00C73244"/>
    <w:rsid w:val="00C75470"/>
    <w:rsid w:val="00C75C88"/>
    <w:rsid w:val="00C75DC6"/>
    <w:rsid w:val="00C76992"/>
    <w:rsid w:val="00C774D6"/>
    <w:rsid w:val="00C7769A"/>
    <w:rsid w:val="00C77D83"/>
    <w:rsid w:val="00C8015D"/>
    <w:rsid w:val="00C80213"/>
    <w:rsid w:val="00C80A7A"/>
    <w:rsid w:val="00C80B98"/>
    <w:rsid w:val="00C810B6"/>
    <w:rsid w:val="00C81676"/>
    <w:rsid w:val="00C817EB"/>
    <w:rsid w:val="00C840B7"/>
    <w:rsid w:val="00C84C9A"/>
    <w:rsid w:val="00C854C8"/>
    <w:rsid w:val="00C864FA"/>
    <w:rsid w:val="00C8720D"/>
    <w:rsid w:val="00C87AA4"/>
    <w:rsid w:val="00C91AF0"/>
    <w:rsid w:val="00C922CC"/>
    <w:rsid w:val="00C9234F"/>
    <w:rsid w:val="00C92394"/>
    <w:rsid w:val="00C92C12"/>
    <w:rsid w:val="00C93443"/>
    <w:rsid w:val="00C93F2B"/>
    <w:rsid w:val="00C94B4B"/>
    <w:rsid w:val="00CA1328"/>
    <w:rsid w:val="00CA4273"/>
    <w:rsid w:val="00CA5E08"/>
    <w:rsid w:val="00CA79B5"/>
    <w:rsid w:val="00CB082D"/>
    <w:rsid w:val="00CB11F5"/>
    <w:rsid w:val="00CB130A"/>
    <w:rsid w:val="00CB2357"/>
    <w:rsid w:val="00CB2E01"/>
    <w:rsid w:val="00CB3DF0"/>
    <w:rsid w:val="00CB434F"/>
    <w:rsid w:val="00CB49BC"/>
    <w:rsid w:val="00CB4A65"/>
    <w:rsid w:val="00CB5B01"/>
    <w:rsid w:val="00CB6A73"/>
    <w:rsid w:val="00CB747B"/>
    <w:rsid w:val="00CB754D"/>
    <w:rsid w:val="00CC00A9"/>
    <w:rsid w:val="00CC1EAF"/>
    <w:rsid w:val="00CC23F6"/>
    <w:rsid w:val="00CC24CC"/>
    <w:rsid w:val="00CC2CE4"/>
    <w:rsid w:val="00CC307B"/>
    <w:rsid w:val="00CC3F73"/>
    <w:rsid w:val="00CC5B22"/>
    <w:rsid w:val="00CC5B72"/>
    <w:rsid w:val="00CC5E24"/>
    <w:rsid w:val="00CC5F73"/>
    <w:rsid w:val="00CC6C0B"/>
    <w:rsid w:val="00CD0766"/>
    <w:rsid w:val="00CD0F39"/>
    <w:rsid w:val="00CD2294"/>
    <w:rsid w:val="00CD24E8"/>
    <w:rsid w:val="00CD3105"/>
    <w:rsid w:val="00CD428D"/>
    <w:rsid w:val="00CD4F1F"/>
    <w:rsid w:val="00CD4F9B"/>
    <w:rsid w:val="00CD5D8A"/>
    <w:rsid w:val="00CD67EF"/>
    <w:rsid w:val="00CE0062"/>
    <w:rsid w:val="00CE274E"/>
    <w:rsid w:val="00CE410A"/>
    <w:rsid w:val="00CE5BC0"/>
    <w:rsid w:val="00CE67C0"/>
    <w:rsid w:val="00CE78DF"/>
    <w:rsid w:val="00CE7E82"/>
    <w:rsid w:val="00CF181E"/>
    <w:rsid w:val="00CF2690"/>
    <w:rsid w:val="00CF2A0F"/>
    <w:rsid w:val="00D00C1C"/>
    <w:rsid w:val="00D019FE"/>
    <w:rsid w:val="00D01A2B"/>
    <w:rsid w:val="00D01CEE"/>
    <w:rsid w:val="00D03459"/>
    <w:rsid w:val="00D038BD"/>
    <w:rsid w:val="00D04C93"/>
    <w:rsid w:val="00D04FAA"/>
    <w:rsid w:val="00D052C7"/>
    <w:rsid w:val="00D05DDF"/>
    <w:rsid w:val="00D077DF"/>
    <w:rsid w:val="00D11D09"/>
    <w:rsid w:val="00D120C5"/>
    <w:rsid w:val="00D12AD0"/>
    <w:rsid w:val="00D14756"/>
    <w:rsid w:val="00D1720C"/>
    <w:rsid w:val="00D21155"/>
    <w:rsid w:val="00D2152B"/>
    <w:rsid w:val="00D22568"/>
    <w:rsid w:val="00D24E43"/>
    <w:rsid w:val="00D24EFD"/>
    <w:rsid w:val="00D25417"/>
    <w:rsid w:val="00D25E80"/>
    <w:rsid w:val="00D264DF"/>
    <w:rsid w:val="00D30074"/>
    <w:rsid w:val="00D333FD"/>
    <w:rsid w:val="00D34B01"/>
    <w:rsid w:val="00D34E4A"/>
    <w:rsid w:val="00D34E96"/>
    <w:rsid w:val="00D352F6"/>
    <w:rsid w:val="00D35BB3"/>
    <w:rsid w:val="00D4019B"/>
    <w:rsid w:val="00D40763"/>
    <w:rsid w:val="00D41775"/>
    <w:rsid w:val="00D46659"/>
    <w:rsid w:val="00D469F5"/>
    <w:rsid w:val="00D47322"/>
    <w:rsid w:val="00D47F14"/>
    <w:rsid w:val="00D50684"/>
    <w:rsid w:val="00D50B93"/>
    <w:rsid w:val="00D50E50"/>
    <w:rsid w:val="00D56943"/>
    <w:rsid w:val="00D5791C"/>
    <w:rsid w:val="00D623F0"/>
    <w:rsid w:val="00D636E4"/>
    <w:rsid w:val="00D640C3"/>
    <w:rsid w:val="00D6426D"/>
    <w:rsid w:val="00D648D1"/>
    <w:rsid w:val="00D66787"/>
    <w:rsid w:val="00D67014"/>
    <w:rsid w:val="00D716AA"/>
    <w:rsid w:val="00D71830"/>
    <w:rsid w:val="00D72D4B"/>
    <w:rsid w:val="00D74B00"/>
    <w:rsid w:val="00D74BFD"/>
    <w:rsid w:val="00D76370"/>
    <w:rsid w:val="00D766E2"/>
    <w:rsid w:val="00D779CB"/>
    <w:rsid w:val="00D80175"/>
    <w:rsid w:val="00D80FB0"/>
    <w:rsid w:val="00D82045"/>
    <w:rsid w:val="00D8324F"/>
    <w:rsid w:val="00D8437A"/>
    <w:rsid w:val="00D8471F"/>
    <w:rsid w:val="00D854AA"/>
    <w:rsid w:val="00D87241"/>
    <w:rsid w:val="00D87345"/>
    <w:rsid w:val="00D9131E"/>
    <w:rsid w:val="00D918F7"/>
    <w:rsid w:val="00D91CF5"/>
    <w:rsid w:val="00D923F3"/>
    <w:rsid w:val="00D952AA"/>
    <w:rsid w:val="00D95EC7"/>
    <w:rsid w:val="00D976CD"/>
    <w:rsid w:val="00D97BAF"/>
    <w:rsid w:val="00D97C77"/>
    <w:rsid w:val="00DA0F99"/>
    <w:rsid w:val="00DA17E9"/>
    <w:rsid w:val="00DA1FF7"/>
    <w:rsid w:val="00DA476B"/>
    <w:rsid w:val="00DA4D53"/>
    <w:rsid w:val="00DA58FB"/>
    <w:rsid w:val="00DA65FD"/>
    <w:rsid w:val="00DA726B"/>
    <w:rsid w:val="00DB1B9F"/>
    <w:rsid w:val="00DB2057"/>
    <w:rsid w:val="00DB3397"/>
    <w:rsid w:val="00DB3ADD"/>
    <w:rsid w:val="00DB640C"/>
    <w:rsid w:val="00DB6C1F"/>
    <w:rsid w:val="00DC1256"/>
    <w:rsid w:val="00DC13ED"/>
    <w:rsid w:val="00DC2156"/>
    <w:rsid w:val="00DC2A7A"/>
    <w:rsid w:val="00DC3828"/>
    <w:rsid w:val="00DC472A"/>
    <w:rsid w:val="00DC490C"/>
    <w:rsid w:val="00DC4AED"/>
    <w:rsid w:val="00DC50A3"/>
    <w:rsid w:val="00DC7A94"/>
    <w:rsid w:val="00DD0A67"/>
    <w:rsid w:val="00DD17A9"/>
    <w:rsid w:val="00DD2D34"/>
    <w:rsid w:val="00DD2ED1"/>
    <w:rsid w:val="00DD37B9"/>
    <w:rsid w:val="00DD3F6D"/>
    <w:rsid w:val="00DD40DE"/>
    <w:rsid w:val="00DD5399"/>
    <w:rsid w:val="00DD5B38"/>
    <w:rsid w:val="00DD5BF5"/>
    <w:rsid w:val="00DD7DCF"/>
    <w:rsid w:val="00DE026E"/>
    <w:rsid w:val="00DE1C04"/>
    <w:rsid w:val="00DE2173"/>
    <w:rsid w:val="00DE2316"/>
    <w:rsid w:val="00DE3FB4"/>
    <w:rsid w:val="00DE4CAE"/>
    <w:rsid w:val="00DE5B86"/>
    <w:rsid w:val="00DE5DD3"/>
    <w:rsid w:val="00DE7ED3"/>
    <w:rsid w:val="00DF28E7"/>
    <w:rsid w:val="00DF3580"/>
    <w:rsid w:val="00DF3B1E"/>
    <w:rsid w:val="00DF46B3"/>
    <w:rsid w:val="00DF56B6"/>
    <w:rsid w:val="00DF57FE"/>
    <w:rsid w:val="00DF62BB"/>
    <w:rsid w:val="00DF6345"/>
    <w:rsid w:val="00DF6742"/>
    <w:rsid w:val="00DF7194"/>
    <w:rsid w:val="00E001EA"/>
    <w:rsid w:val="00E01198"/>
    <w:rsid w:val="00E02E1D"/>
    <w:rsid w:val="00E03C78"/>
    <w:rsid w:val="00E04515"/>
    <w:rsid w:val="00E0603E"/>
    <w:rsid w:val="00E063A0"/>
    <w:rsid w:val="00E066B7"/>
    <w:rsid w:val="00E06791"/>
    <w:rsid w:val="00E10C55"/>
    <w:rsid w:val="00E11399"/>
    <w:rsid w:val="00E137C3"/>
    <w:rsid w:val="00E13C8E"/>
    <w:rsid w:val="00E14CBC"/>
    <w:rsid w:val="00E15F4A"/>
    <w:rsid w:val="00E160FD"/>
    <w:rsid w:val="00E1650E"/>
    <w:rsid w:val="00E16611"/>
    <w:rsid w:val="00E175D1"/>
    <w:rsid w:val="00E205D8"/>
    <w:rsid w:val="00E22299"/>
    <w:rsid w:val="00E22AB6"/>
    <w:rsid w:val="00E22C3A"/>
    <w:rsid w:val="00E25ABF"/>
    <w:rsid w:val="00E26D9D"/>
    <w:rsid w:val="00E32DDB"/>
    <w:rsid w:val="00E32F66"/>
    <w:rsid w:val="00E34872"/>
    <w:rsid w:val="00E3515E"/>
    <w:rsid w:val="00E4041F"/>
    <w:rsid w:val="00E4106A"/>
    <w:rsid w:val="00E41B77"/>
    <w:rsid w:val="00E428A4"/>
    <w:rsid w:val="00E42E05"/>
    <w:rsid w:val="00E42E3F"/>
    <w:rsid w:val="00E43626"/>
    <w:rsid w:val="00E43BDB"/>
    <w:rsid w:val="00E471C9"/>
    <w:rsid w:val="00E47254"/>
    <w:rsid w:val="00E50214"/>
    <w:rsid w:val="00E50999"/>
    <w:rsid w:val="00E51289"/>
    <w:rsid w:val="00E51566"/>
    <w:rsid w:val="00E51E31"/>
    <w:rsid w:val="00E523AA"/>
    <w:rsid w:val="00E523D3"/>
    <w:rsid w:val="00E5353D"/>
    <w:rsid w:val="00E53721"/>
    <w:rsid w:val="00E53E51"/>
    <w:rsid w:val="00E54143"/>
    <w:rsid w:val="00E54494"/>
    <w:rsid w:val="00E56C6B"/>
    <w:rsid w:val="00E56DBD"/>
    <w:rsid w:val="00E6152A"/>
    <w:rsid w:val="00E629B0"/>
    <w:rsid w:val="00E629C2"/>
    <w:rsid w:val="00E6339F"/>
    <w:rsid w:val="00E63B15"/>
    <w:rsid w:val="00E6407B"/>
    <w:rsid w:val="00E64F05"/>
    <w:rsid w:val="00E66CEF"/>
    <w:rsid w:val="00E6724A"/>
    <w:rsid w:val="00E676AC"/>
    <w:rsid w:val="00E70005"/>
    <w:rsid w:val="00E71966"/>
    <w:rsid w:val="00E73870"/>
    <w:rsid w:val="00E739D3"/>
    <w:rsid w:val="00E7503E"/>
    <w:rsid w:val="00E75194"/>
    <w:rsid w:val="00E76345"/>
    <w:rsid w:val="00E7754C"/>
    <w:rsid w:val="00E807B0"/>
    <w:rsid w:val="00E80A49"/>
    <w:rsid w:val="00E81042"/>
    <w:rsid w:val="00E850EA"/>
    <w:rsid w:val="00E85497"/>
    <w:rsid w:val="00E85F02"/>
    <w:rsid w:val="00E863E4"/>
    <w:rsid w:val="00E903F3"/>
    <w:rsid w:val="00E91FDC"/>
    <w:rsid w:val="00E94002"/>
    <w:rsid w:val="00E94594"/>
    <w:rsid w:val="00E9488F"/>
    <w:rsid w:val="00E94CFB"/>
    <w:rsid w:val="00E94E2B"/>
    <w:rsid w:val="00E9526F"/>
    <w:rsid w:val="00E96018"/>
    <w:rsid w:val="00E975C9"/>
    <w:rsid w:val="00E97934"/>
    <w:rsid w:val="00EA07FD"/>
    <w:rsid w:val="00EA08BE"/>
    <w:rsid w:val="00EA2E63"/>
    <w:rsid w:val="00EA3CFC"/>
    <w:rsid w:val="00EA4BE2"/>
    <w:rsid w:val="00EA4FD4"/>
    <w:rsid w:val="00EB05A8"/>
    <w:rsid w:val="00EB155B"/>
    <w:rsid w:val="00EB32DF"/>
    <w:rsid w:val="00EB3B69"/>
    <w:rsid w:val="00EB453C"/>
    <w:rsid w:val="00EC33AB"/>
    <w:rsid w:val="00EC3658"/>
    <w:rsid w:val="00EC3783"/>
    <w:rsid w:val="00EC3F72"/>
    <w:rsid w:val="00EC4AE2"/>
    <w:rsid w:val="00EC5FA5"/>
    <w:rsid w:val="00ED00C2"/>
    <w:rsid w:val="00ED11C5"/>
    <w:rsid w:val="00ED13D2"/>
    <w:rsid w:val="00ED2034"/>
    <w:rsid w:val="00ED2B6B"/>
    <w:rsid w:val="00ED69EA"/>
    <w:rsid w:val="00ED6D93"/>
    <w:rsid w:val="00ED76EB"/>
    <w:rsid w:val="00EE0FA3"/>
    <w:rsid w:val="00EE12FB"/>
    <w:rsid w:val="00EE1CC1"/>
    <w:rsid w:val="00EE2BDA"/>
    <w:rsid w:val="00EE3D8E"/>
    <w:rsid w:val="00EE4DAC"/>
    <w:rsid w:val="00EE5AE5"/>
    <w:rsid w:val="00EE65FC"/>
    <w:rsid w:val="00EE69CB"/>
    <w:rsid w:val="00EF0785"/>
    <w:rsid w:val="00EF24B6"/>
    <w:rsid w:val="00EF2894"/>
    <w:rsid w:val="00EF352F"/>
    <w:rsid w:val="00EF7276"/>
    <w:rsid w:val="00F01A98"/>
    <w:rsid w:val="00F0360C"/>
    <w:rsid w:val="00F03990"/>
    <w:rsid w:val="00F0406C"/>
    <w:rsid w:val="00F040F9"/>
    <w:rsid w:val="00F06065"/>
    <w:rsid w:val="00F06FDA"/>
    <w:rsid w:val="00F10E2E"/>
    <w:rsid w:val="00F14DDC"/>
    <w:rsid w:val="00F1551E"/>
    <w:rsid w:val="00F1566D"/>
    <w:rsid w:val="00F16A51"/>
    <w:rsid w:val="00F17B79"/>
    <w:rsid w:val="00F20904"/>
    <w:rsid w:val="00F20CAA"/>
    <w:rsid w:val="00F23E16"/>
    <w:rsid w:val="00F24004"/>
    <w:rsid w:val="00F24250"/>
    <w:rsid w:val="00F2591F"/>
    <w:rsid w:val="00F2646C"/>
    <w:rsid w:val="00F26FA3"/>
    <w:rsid w:val="00F307EE"/>
    <w:rsid w:val="00F32226"/>
    <w:rsid w:val="00F331F2"/>
    <w:rsid w:val="00F35D0E"/>
    <w:rsid w:val="00F40076"/>
    <w:rsid w:val="00F40354"/>
    <w:rsid w:val="00F40436"/>
    <w:rsid w:val="00F40AE3"/>
    <w:rsid w:val="00F414AB"/>
    <w:rsid w:val="00F41A6C"/>
    <w:rsid w:val="00F435A4"/>
    <w:rsid w:val="00F43D6A"/>
    <w:rsid w:val="00F44A0B"/>
    <w:rsid w:val="00F45240"/>
    <w:rsid w:val="00F461CB"/>
    <w:rsid w:val="00F50184"/>
    <w:rsid w:val="00F513DB"/>
    <w:rsid w:val="00F52472"/>
    <w:rsid w:val="00F52B42"/>
    <w:rsid w:val="00F5320D"/>
    <w:rsid w:val="00F545E6"/>
    <w:rsid w:val="00F54911"/>
    <w:rsid w:val="00F5607B"/>
    <w:rsid w:val="00F56300"/>
    <w:rsid w:val="00F5647B"/>
    <w:rsid w:val="00F565AD"/>
    <w:rsid w:val="00F63C45"/>
    <w:rsid w:val="00F64E03"/>
    <w:rsid w:val="00F6717C"/>
    <w:rsid w:val="00F67930"/>
    <w:rsid w:val="00F67FB6"/>
    <w:rsid w:val="00F70B79"/>
    <w:rsid w:val="00F71700"/>
    <w:rsid w:val="00F71AC7"/>
    <w:rsid w:val="00F7303F"/>
    <w:rsid w:val="00F73226"/>
    <w:rsid w:val="00F736B7"/>
    <w:rsid w:val="00F738C7"/>
    <w:rsid w:val="00F75D57"/>
    <w:rsid w:val="00F7660C"/>
    <w:rsid w:val="00F77A36"/>
    <w:rsid w:val="00F83881"/>
    <w:rsid w:val="00F84B06"/>
    <w:rsid w:val="00F86599"/>
    <w:rsid w:val="00F8784A"/>
    <w:rsid w:val="00F87FC7"/>
    <w:rsid w:val="00F904DE"/>
    <w:rsid w:val="00F909FE"/>
    <w:rsid w:val="00F90CA3"/>
    <w:rsid w:val="00F92111"/>
    <w:rsid w:val="00F93087"/>
    <w:rsid w:val="00F93535"/>
    <w:rsid w:val="00F96460"/>
    <w:rsid w:val="00F96834"/>
    <w:rsid w:val="00F969AA"/>
    <w:rsid w:val="00FA3153"/>
    <w:rsid w:val="00FA4299"/>
    <w:rsid w:val="00FA4582"/>
    <w:rsid w:val="00FA49ED"/>
    <w:rsid w:val="00FA5A06"/>
    <w:rsid w:val="00FA6451"/>
    <w:rsid w:val="00FA68A6"/>
    <w:rsid w:val="00FB0738"/>
    <w:rsid w:val="00FB1454"/>
    <w:rsid w:val="00FB1504"/>
    <w:rsid w:val="00FB260D"/>
    <w:rsid w:val="00FB3A04"/>
    <w:rsid w:val="00FB3BEB"/>
    <w:rsid w:val="00FB5063"/>
    <w:rsid w:val="00FB7EE7"/>
    <w:rsid w:val="00FC1155"/>
    <w:rsid w:val="00FC13A8"/>
    <w:rsid w:val="00FC296D"/>
    <w:rsid w:val="00FC2B56"/>
    <w:rsid w:val="00FC31C0"/>
    <w:rsid w:val="00FC3B2E"/>
    <w:rsid w:val="00FC4E85"/>
    <w:rsid w:val="00FC53FC"/>
    <w:rsid w:val="00FC60C2"/>
    <w:rsid w:val="00FD0A4E"/>
    <w:rsid w:val="00FD1E2C"/>
    <w:rsid w:val="00FD3B08"/>
    <w:rsid w:val="00FD45C7"/>
    <w:rsid w:val="00FD5632"/>
    <w:rsid w:val="00FD6E57"/>
    <w:rsid w:val="00FD74CC"/>
    <w:rsid w:val="00FE18DB"/>
    <w:rsid w:val="00FE1D0D"/>
    <w:rsid w:val="00FE1FC5"/>
    <w:rsid w:val="00FE4B4B"/>
    <w:rsid w:val="00FE5BFA"/>
    <w:rsid w:val="00FE749B"/>
    <w:rsid w:val="00FF1031"/>
    <w:rsid w:val="00FF3A7D"/>
    <w:rsid w:val="00FF3BC6"/>
    <w:rsid w:val="00FF529F"/>
    <w:rsid w:val="00FF7082"/>
    <w:rsid w:val="015F78F1"/>
    <w:rsid w:val="018F0027"/>
    <w:rsid w:val="01BF19D1"/>
    <w:rsid w:val="01C74429"/>
    <w:rsid w:val="020804A4"/>
    <w:rsid w:val="022F4ECD"/>
    <w:rsid w:val="029455AD"/>
    <w:rsid w:val="03701835"/>
    <w:rsid w:val="0374586D"/>
    <w:rsid w:val="03E406E3"/>
    <w:rsid w:val="041D6970"/>
    <w:rsid w:val="04581CB1"/>
    <w:rsid w:val="049E6222"/>
    <w:rsid w:val="04F80D9E"/>
    <w:rsid w:val="057C07A9"/>
    <w:rsid w:val="05C23925"/>
    <w:rsid w:val="05E60E91"/>
    <w:rsid w:val="05FB4A52"/>
    <w:rsid w:val="063F6C84"/>
    <w:rsid w:val="06622973"/>
    <w:rsid w:val="06C23411"/>
    <w:rsid w:val="06DA5D19"/>
    <w:rsid w:val="070B300A"/>
    <w:rsid w:val="0749688F"/>
    <w:rsid w:val="075E40BB"/>
    <w:rsid w:val="079F0861"/>
    <w:rsid w:val="08265FB5"/>
    <w:rsid w:val="08362309"/>
    <w:rsid w:val="08942A2A"/>
    <w:rsid w:val="09565A7D"/>
    <w:rsid w:val="09615163"/>
    <w:rsid w:val="0A3854DD"/>
    <w:rsid w:val="0A7A4830"/>
    <w:rsid w:val="0AA42F62"/>
    <w:rsid w:val="0AAC1E5E"/>
    <w:rsid w:val="0B2D4F70"/>
    <w:rsid w:val="0B3208B2"/>
    <w:rsid w:val="0BBF6171"/>
    <w:rsid w:val="0C2030B4"/>
    <w:rsid w:val="0C3D614B"/>
    <w:rsid w:val="0C59767E"/>
    <w:rsid w:val="0CE97D42"/>
    <w:rsid w:val="0D091F4F"/>
    <w:rsid w:val="0D423770"/>
    <w:rsid w:val="0DCD25C8"/>
    <w:rsid w:val="0E3A0649"/>
    <w:rsid w:val="0E3A3B6B"/>
    <w:rsid w:val="0E687A3B"/>
    <w:rsid w:val="0F296723"/>
    <w:rsid w:val="0F87344A"/>
    <w:rsid w:val="10BA4216"/>
    <w:rsid w:val="1252082F"/>
    <w:rsid w:val="12B26A5D"/>
    <w:rsid w:val="12C543F6"/>
    <w:rsid w:val="133B2B8B"/>
    <w:rsid w:val="134916EC"/>
    <w:rsid w:val="1365144E"/>
    <w:rsid w:val="143E0385"/>
    <w:rsid w:val="146548AF"/>
    <w:rsid w:val="14832D0C"/>
    <w:rsid w:val="14893727"/>
    <w:rsid w:val="14D013EF"/>
    <w:rsid w:val="14D3666F"/>
    <w:rsid w:val="15FC19AC"/>
    <w:rsid w:val="15FF7E6C"/>
    <w:rsid w:val="16227A29"/>
    <w:rsid w:val="162D642C"/>
    <w:rsid w:val="16517E04"/>
    <w:rsid w:val="16526560"/>
    <w:rsid w:val="16BC0F4E"/>
    <w:rsid w:val="17290CBC"/>
    <w:rsid w:val="17501520"/>
    <w:rsid w:val="17877E7A"/>
    <w:rsid w:val="17F101CF"/>
    <w:rsid w:val="181405F5"/>
    <w:rsid w:val="18364045"/>
    <w:rsid w:val="18BE53BE"/>
    <w:rsid w:val="18EE0FF5"/>
    <w:rsid w:val="19753064"/>
    <w:rsid w:val="19E73463"/>
    <w:rsid w:val="19EB139B"/>
    <w:rsid w:val="1A417530"/>
    <w:rsid w:val="1A6E4810"/>
    <w:rsid w:val="1A83323F"/>
    <w:rsid w:val="1A8B2106"/>
    <w:rsid w:val="1AE51725"/>
    <w:rsid w:val="1BB12787"/>
    <w:rsid w:val="1BC47DF2"/>
    <w:rsid w:val="1C6052B0"/>
    <w:rsid w:val="1CB33AD0"/>
    <w:rsid w:val="1D951CB1"/>
    <w:rsid w:val="1D9B470A"/>
    <w:rsid w:val="1D9C4C6D"/>
    <w:rsid w:val="1DD02207"/>
    <w:rsid w:val="1E5823BD"/>
    <w:rsid w:val="1E78617C"/>
    <w:rsid w:val="1F3678CE"/>
    <w:rsid w:val="1F3C7DAD"/>
    <w:rsid w:val="1F681F5F"/>
    <w:rsid w:val="1F934227"/>
    <w:rsid w:val="20074AC3"/>
    <w:rsid w:val="20285CD0"/>
    <w:rsid w:val="202D2A69"/>
    <w:rsid w:val="2039388E"/>
    <w:rsid w:val="208C2AF3"/>
    <w:rsid w:val="20D70139"/>
    <w:rsid w:val="20DD55C0"/>
    <w:rsid w:val="20DE35F1"/>
    <w:rsid w:val="20DF1A81"/>
    <w:rsid w:val="21246D4B"/>
    <w:rsid w:val="21935C7E"/>
    <w:rsid w:val="21DA33D9"/>
    <w:rsid w:val="22371E1E"/>
    <w:rsid w:val="22DC4764"/>
    <w:rsid w:val="230E17FD"/>
    <w:rsid w:val="239B2561"/>
    <w:rsid w:val="24715ECA"/>
    <w:rsid w:val="24E43AF1"/>
    <w:rsid w:val="25801CD3"/>
    <w:rsid w:val="25907302"/>
    <w:rsid w:val="25C32FD6"/>
    <w:rsid w:val="260F4DA8"/>
    <w:rsid w:val="26A84E12"/>
    <w:rsid w:val="26CA589C"/>
    <w:rsid w:val="26D14BE0"/>
    <w:rsid w:val="27166E4B"/>
    <w:rsid w:val="271B474C"/>
    <w:rsid w:val="27401E28"/>
    <w:rsid w:val="27414C32"/>
    <w:rsid w:val="286B0675"/>
    <w:rsid w:val="286D2C2F"/>
    <w:rsid w:val="288307FB"/>
    <w:rsid w:val="289E1564"/>
    <w:rsid w:val="28C12209"/>
    <w:rsid w:val="2939535D"/>
    <w:rsid w:val="2983407D"/>
    <w:rsid w:val="29B55A0E"/>
    <w:rsid w:val="29DC7068"/>
    <w:rsid w:val="29E057D9"/>
    <w:rsid w:val="2A5874ED"/>
    <w:rsid w:val="2A866EAD"/>
    <w:rsid w:val="2B8605FF"/>
    <w:rsid w:val="2BE71A4E"/>
    <w:rsid w:val="2C087541"/>
    <w:rsid w:val="2C3B29A6"/>
    <w:rsid w:val="2C726454"/>
    <w:rsid w:val="2C7E6EC0"/>
    <w:rsid w:val="2C884632"/>
    <w:rsid w:val="2CAA43CA"/>
    <w:rsid w:val="2CD258AD"/>
    <w:rsid w:val="2D5700A5"/>
    <w:rsid w:val="2DAE2509"/>
    <w:rsid w:val="2E383E35"/>
    <w:rsid w:val="2E67296D"/>
    <w:rsid w:val="2EA702F2"/>
    <w:rsid w:val="2EB7691F"/>
    <w:rsid w:val="2EBC3D59"/>
    <w:rsid w:val="2EF7683B"/>
    <w:rsid w:val="2FC7536F"/>
    <w:rsid w:val="2FE4232E"/>
    <w:rsid w:val="2FF17810"/>
    <w:rsid w:val="304328AD"/>
    <w:rsid w:val="30F47A27"/>
    <w:rsid w:val="31242D00"/>
    <w:rsid w:val="317A33BB"/>
    <w:rsid w:val="31811153"/>
    <w:rsid w:val="328A2480"/>
    <w:rsid w:val="32D5191B"/>
    <w:rsid w:val="33622CC4"/>
    <w:rsid w:val="33AE5828"/>
    <w:rsid w:val="33C550B4"/>
    <w:rsid w:val="341E08CC"/>
    <w:rsid w:val="342F62F6"/>
    <w:rsid w:val="345B1B06"/>
    <w:rsid w:val="34BF1578"/>
    <w:rsid w:val="35247887"/>
    <w:rsid w:val="353F5AA9"/>
    <w:rsid w:val="354A48D8"/>
    <w:rsid w:val="35EB79DF"/>
    <w:rsid w:val="362E26F6"/>
    <w:rsid w:val="363E4EDB"/>
    <w:rsid w:val="37115432"/>
    <w:rsid w:val="378123A9"/>
    <w:rsid w:val="37DF6525"/>
    <w:rsid w:val="37F35FAD"/>
    <w:rsid w:val="38A80A21"/>
    <w:rsid w:val="38F80803"/>
    <w:rsid w:val="390A723C"/>
    <w:rsid w:val="39B812C2"/>
    <w:rsid w:val="39CD5D7A"/>
    <w:rsid w:val="3A765BAE"/>
    <w:rsid w:val="3A8C23C1"/>
    <w:rsid w:val="3A8D3755"/>
    <w:rsid w:val="3B273268"/>
    <w:rsid w:val="3BA448B8"/>
    <w:rsid w:val="3BA743A8"/>
    <w:rsid w:val="3C195B71"/>
    <w:rsid w:val="3C221B9E"/>
    <w:rsid w:val="3C357E53"/>
    <w:rsid w:val="3C8138E7"/>
    <w:rsid w:val="3C934F8C"/>
    <w:rsid w:val="3C956475"/>
    <w:rsid w:val="3CCA7406"/>
    <w:rsid w:val="3CF33D49"/>
    <w:rsid w:val="3D6040CD"/>
    <w:rsid w:val="3D691E7B"/>
    <w:rsid w:val="3D8D1E9E"/>
    <w:rsid w:val="3DA23738"/>
    <w:rsid w:val="3E0A11D3"/>
    <w:rsid w:val="3EB946D3"/>
    <w:rsid w:val="3EF92BC7"/>
    <w:rsid w:val="3F023BCC"/>
    <w:rsid w:val="3F3147D9"/>
    <w:rsid w:val="3F894D5F"/>
    <w:rsid w:val="3FCB5B1C"/>
    <w:rsid w:val="3FD95863"/>
    <w:rsid w:val="3FDB71DF"/>
    <w:rsid w:val="4038660A"/>
    <w:rsid w:val="406F22C2"/>
    <w:rsid w:val="411B580C"/>
    <w:rsid w:val="4126289F"/>
    <w:rsid w:val="416C1B62"/>
    <w:rsid w:val="420325CD"/>
    <w:rsid w:val="4254472C"/>
    <w:rsid w:val="42E12EC5"/>
    <w:rsid w:val="430711AD"/>
    <w:rsid w:val="432804C5"/>
    <w:rsid w:val="43351D02"/>
    <w:rsid w:val="434E7434"/>
    <w:rsid w:val="43B86F03"/>
    <w:rsid w:val="43E443EC"/>
    <w:rsid w:val="43EA6609"/>
    <w:rsid w:val="43F9776B"/>
    <w:rsid w:val="442D57E5"/>
    <w:rsid w:val="44935E12"/>
    <w:rsid w:val="450C7105"/>
    <w:rsid w:val="45322F35"/>
    <w:rsid w:val="45B9385F"/>
    <w:rsid w:val="45EA0448"/>
    <w:rsid w:val="46200992"/>
    <w:rsid w:val="466435C2"/>
    <w:rsid w:val="473D2589"/>
    <w:rsid w:val="477858FF"/>
    <w:rsid w:val="47AB1602"/>
    <w:rsid w:val="47C8032A"/>
    <w:rsid w:val="487F6336"/>
    <w:rsid w:val="492D2E04"/>
    <w:rsid w:val="49773027"/>
    <w:rsid w:val="49E30CA1"/>
    <w:rsid w:val="49F92273"/>
    <w:rsid w:val="4A4D10FA"/>
    <w:rsid w:val="4A592E3B"/>
    <w:rsid w:val="4AA344B3"/>
    <w:rsid w:val="4AE57112"/>
    <w:rsid w:val="4B426D6F"/>
    <w:rsid w:val="4B76485C"/>
    <w:rsid w:val="4BBF214B"/>
    <w:rsid w:val="4C2E05A8"/>
    <w:rsid w:val="4C335D8A"/>
    <w:rsid w:val="4C4216EC"/>
    <w:rsid w:val="4E374BEF"/>
    <w:rsid w:val="4E4E1648"/>
    <w:rsid w:val="4E5C7274"/>
    <w:rsid w:val="4F1D0113"/>
    <w:rsid w:val="4F374ABE"/>
    <w:rsid w:val="4F9F58D6"/>
    <w:rsid w:val="4FDE4134"/>
    <w:rsid w:val="506C1094"/>
    <w:rsid w:val="5097052E"/>
    <w:rsid w:val="50AA7E30"/>
    <w:rsid w:val="516D2186"/>
    <w:rsid w:val="51AC5E5D"/>
    <w:rsid w:val="51C9452A"/>
    <w:rsid w:val="52326683"/>
    <w:rsid w:val="52B97E69"/>
    <w:rsid w:val="52C51423"/>
    <w:rsid w:val="531B2857"/>
    <w:rsid w:val="532C41E9"/>
    <w:rsid w:val="53A12D82"/>
    <w:rsid w:val="53C945FB"/>
    <w:rsid w:val="53D14261"/>
    <w:rsid w:val="542366B2"/>
    <w:rsid w:val="54333971"/>
    <w:rsid w:val="549876F9"/>
    <w:rsid w:val="54EB627C"/>
    <w:rsid w:val="559770A6"/>
    <w:rsid w:val="55A7171D"/>
    <w:rsid w:val="561065A1"/>
    <w:rsid w:val="56A31EE4"/>
    <w:rsid w:val="56B927C0"/>
    <w:rsid w:val="56F6203F"/>
    <w:rsid w:val="5753390A"/>
    <w:rsid w:val="57572CCF"/>
    <w:rsid w:val="57CA524F"/>
    <w:rsid w:val="58B8154B"/>
    <w:rsid w:val="58D27FFF"/>
    <w:rsid w:val="58DA63FA"/>
    <w:rsid w:val="593A19F0"/>
    <w:rsid w:val="597E4AFB"/>
    <w:rsid w:val="598B0010"/>
    <w:rsid w:val="5995090B"/>
    <w:rsid w:val="59987307"/>
    <w:rsid w:val="59B44408"/>
    <w:rsid w:val="59DF6488"/>
    <w:rsid w:val="5A174D6B"/>
    <w:rsid w:val="5A3B477C"/>
    <w:rsid w:val="5A7539E6"/>
    <w:rsid w:val="5AD07020"/>
    <w:rsid w:val="5AFC40BF"/>
    <w:rsid w:val="5B950526"/>
    <w:rsid w:val="5B966631"/>
    <w:rsid w:val="5BDE1D97"/>
    <w:rsid w:val="5BE32D83"/>
    <w:rsid w:val="5C4D3844"/>
    <w:rsid w:val="5C936557"/>
    <w:rsid w:val="5CCE3AC3"/>
    <w:rsid w:val="5D306882"/>
    <w:rsid w:val="5D7067F8"/>
    <w:rsid w:val="5DE35530"/>
    <w:rsid w:val="5E7766BA"/>
    <w:rsid w:val="5E96232F"/>
    <w:rsid w:val="5E9A15F3"/>
    <w:rsid w:val="5EAC6562"/>
    <w:rsid w:val="5F321485"/>
    <w:rsid w:val="5F693B93"/>
    <w:rsid w:val="5F8E6C0B"/>
    <w:rsid w:val="61677FB2"/>
    <w:rsid w:val="618A6458"/>
    <w:rsid w:val="618B1EF3"/>
    <w:rsid w:val="61B52ACC"/>
    <w:rsid w:val="61C1676D"/>
    <w:rsid w:val="622A2EA4"/>
    <w:rsid w:val="62315D38"/>
    <w:rsid w:val="62A02C94"/>
    <w:rsid w:val="62AF7E63"/>
    <w:rsid w:val="62B20812"/>
    <w:rsid w:val="6312369C"/>
    <w:rsid w:val="639030FC"/>
    <w:rsid w:val="63E55E3D"/>
    <w:rsid w:val="643458DB"/>
    <w:rsid w:val="64375256"/>
    <w:rsid w:val="64A55079"/>
    <w:rsid w:val="64D5039D"/>
    <w:rsid w:val="64D7429C"/>
    <w:rsid w:val="65FF07B9"/>
    <w:rsid w:val="6615324D"/>
    <w:rsid w:val="665151C5"/>
    <w:rsid w:val="666C02D2"/>
    <w:rsid w:val="668D26EF"/>
    <w:rsid w:val="66E162E3"/>
    <w:rsid w:val="66EA7895"/>
    <w:rsid w:val="676043F9"/>
    <w:rsid w:val="67C70996"/>
    <w:rsid w:val="67F15358"/>
    <w:rsid w:val="68192555"/>
    <w:rsid w:val="6979382E"/>
    <w:rsid w:val="69981651"/>
    <w:rsid w:val="699B3AEE"/>
    <w:rsid w:val="69D168ED"/>
    <w:rsid w:val="6A2E78BF"/>
    <w:rsid w:val="6A3C022E"/>
    <w:rsid w:val="6A5C61DA"/>
    <w:rsid w:val="6AC16EF6"/>
    <w:rsid w:val="6AF16C29"/>
    <w:rsid w:val="6B8F22D3"/>
    <w:rsid w:val="6C083ECD"/>
    <w:rsid w:val="6CA32054"/>
    <w:rsid w:val="6D4142E7"/>
    <w:rsid w:val="6D7101EF"/>
    <w:rsid w:val="6D87324C"/>
    <w:rsid w:val="6DA27ACC"/>
    <w:rsid w:val="6DB02BA2"/>
    <w:rsid w:val="6DFE351E"/>
    <w:rsid w:val="6E3F20F9"/>
    <w:rsid w:val="6EE449F0"/>
    <w:rsid w:val="6EE5105C"/>
    <w:rsid w:val="6F021872"/>
    <w:rsid w:val="6F1F338C"/>
    <w:rsid w:val="6FAB69B9"/>
    <w:rsid w:val="70022FC2"/>
    <w:rsid w:val="703E5D1A"/>
    <w:rsid w:val="704D50F7"/>
    <w:rsid w:val="70512711"/>
    <w:rsid w:val="70BF3967"/>
    <w:rsid w:val="70F73796"/>
    <w:rsid w:val="71373BCE"/>
    <w:rsid w:val="71536AB4"/>
    <w:rsid w:val="717520A8"/>
    <w:rsid w:val="71D65161"/>
    <w:rsid w:val="724315AE"/>
    <w:rsid w:val="727C60DF"/>
    <w:rsid w:val="728C6382"/>
    <w:rsid w:val="7295497F"/>
    <w:rsid w:val="738D4A3C"/>
    <w:rsid w:val="740718AD"/>
    <w:rsid w:val="74151D55"/>
    <w:rsid w:val="747F57CA"/>
    <w:rsid w:val="74A94712"/>
    <w:rsid w:val="750C4C78"/>
    <w:rsid w:val="75450BB9"/>
    <w:rsid w:val="757A60AE"/>
    <w:rsid w:val="759A4470"/>
    <w:rsid w:val="75E55770"/>
    <w:rsid w:val="76013E56"/>
    <w:rsid w:val="76386BD3"/>
    <w:rsid w:val="76631A40"/>
    <w:rsid w:val="76D87530"/>
    <w:rsid w:val="76FC3A86"/>
    <w:rsid w:val="77732DB5"/>
    <w:rsid w:val="781474DC"/>
    <w:rsid w:val="781F2AEE"/>
    <w:rsid w:val="7831145A"/>
    <w:rsid w:val="78E0626B"/>
    <w:rsid w:val="79444A09"/>
    <w:rsid w:val="799A7EFC"/>
    <w:rsid w:val="79CF15E2"/>
    <w:rsid w:val="79DD5495"/>
    <w:rsid w:val="7A10700A"/>
    <w:rsid w:val="7A150154"/>
    <w:rsid w:val="7A2B1FDC"/>
    <w:rsid w:val="7A651918"/>
    <w:rsid w:val="7ADC1DBC"/>
    <w:rsid w:val="7B1C052F"/>
    <w:rsid w:val="7C6026CD"/>
    <w:rsid w:val="7C7C44BA"/>
    <w:rsid w:val="7C9C0140"/>
    <w:rsid w:val="7CD460A4"/>
    <w:rsid w:val="7D1D7616"/>
    <w:rsid w:val="7D275310"/>
    <w:rsid w:val="7D714BF8"/>
    <w:rsid w:val="7D752C71"/>
    <w:rsid w:val="7D9648D2"/>
    <w:rsid w:val="7DC31396"/>
    <w:rsid w:val="7DF10ED8"/>
    <w:rsid w:val="7E734151"/>
    <w:rsid w:val="7E80705E"/>
    <w:rsid w:val="7F142A4D"/>
    <w:rsid w:val="7F7B314F"/>
    <w:rsid w:val="7F8229B5"/>
    <w:rsid w:val="7FEA2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link w:val="60"/>
    <w:autoRedefine/>
    <w:qFormat/>
    <w:uiPriority w:val="0"/>
    <w:pPr>
      <w:keepNext/>
      <w:keepLines/>
      <w:numPr>
        <w:ilvl w:val="0"/>
        <w:numId w:val="1"/>
      </w:numPr>
      <w:snapToGrid w:val="0"/>
      <w:spacing w:line="400" w:lineRule="atLeast"/>
      <w:outlineLvl w:val="0"/>
    </w:pPr>
    <w:rPr>
      <w:rFonts w:ascii="宋体" w:eastAsia="黑体"/>
      <w:kern w:val="28"/>
      <w:sz w:val="28"/>
      <w:szCs w:val="20"/>
    </w:rPr>
  </w:style>
  <w:style w:type="paragraph" w:styleId="3">
    <w:name w:val="heading 2"/>
    <w:basedOn w:val="1"/>
    <w:next w:val="1"/>
    <w:link w:val="65"/>
    <w:autoRedefine/>
    <w:qFormat/>
    <w:uiPriority w:val="0"/>
    <w:pPr>
      <w:numPr>
        <w:ilvl w:val="1"/>
        <w:numId w:val="1"/>
      </w:numPr>
      <w:tabs>
        <w:tab w:val="left" w:pos="425"/>
      </w:tabs>
      <w:snapToGrid w:val="0"/>
      <w:spacing w:line="360" w:lineRule="auto"/>
      <w:outlineLvl w:val="1"/>
    </w:pPr>
    <w:rPr>
      <w:rFonts w:ascii="宋体"/>
      <w:sz w:val="28"/>
      <w:szCs w:val="20"/>
    </w:rPr>
  </w:style>
  <w:style w:type="paragraph" w:styleId="4">
    <w:name w:val="heading 3"/>
    <w:basedOn w:val="1"/>
    <w:next w:val="1"/>
    <w:link w:val="73"/>
    <w:autoRedefine/>
    <w:qFormat/>
    <w:uiPriority w:val="0"/>
    <w:pPr>
      <w:tabs>
        <w:tab w:val="left" w:pos="425"/>
        <w:tab w:val="left" w:pos="720"/>
        <w:tab w:val="left" w:pos="1985"/>
        <w:tab w:val="left" w:pos="7088"/>
      </w:tabs>
      <w:outlineLvl w:val="2"/>
    </w:pPr>
  </w:style>
  <w:style w:type="paragraph" w:styleId="5">
    <w:name w:val="heading 4"/>
    <w:basedOn w:val="1"/>
    <w:next w:val="1"/>
    <w:link w:val="68"/>
    <w:autoRedefine/>
    <w:qFormat/>
    <w:uiPriority w:val="0"/>
    <w:pPr>
      <w:keepNext/>
      <w:keepLines/>
      <w:spacing w:before="280" w:after="290" w:line="376" w:lineRule="auto"/>
      <w:outlineLvl w:val="3"/>
    </w:pPr>
    <w:rPr>
      <w:rFonts w:ascii="Calibri Light" w:hAnsi="Calibri Light"/>
      <w:b/>
      <w:bCs/>
      <w:kern w:val="0"/>
      <w:sz w:val="28"/>
      <w:szCs w:val="28"/>
    </w:rPr>
  </w:style>
  <w:style w:type="paragraph" w:styleId="6">
    <w:name w:val="heading 5"/>
    <w:basedOn w:val="1"/>
    <w:next w:val="1"/>
    <w:link w:val="71"/>
    <w:autoRedefine/>
    <w:qFormat/>
    <w:uiPriority w:val="0"/>
    <w:pPr>
      <w:keepNext/>
      <w:keepLines/>
      <w:spacing w:before="280" w:after="290" w:line="376" w:lineRule="auto"/>
      <w:outlineLvl w:val="4"/>
    </w:pPr>
    <w:rPr>
      <w:b/>
      <w:bCs/>
      <w:kern w:val="0"/>
      <w:sz w:val="28"/>
      <w:szCs w:val="28"/>
    </w:rPr>
  </w:style>
  <w:style w:type="paragraph" w:styleId="7">
    <w:name w:val="heading 6"/>
    <w:basedOn w:val="1"/>
    <w:next w:val="1"/>
    <w:link w:val="64"/>
    <w:autoRedefine/>
    <w:qFormat/>
    <w:uiPriority w:val="0"/>
    <w:pPr>
      <w:keepNext/>
      <w:keepLines/>
      <w:spacing w:before="240" w:after="64" w:line="320" w:lineRule="auto"/>
      <w:outlineLvl w:val="5"/>
    </w:pPr>
    <w:rPr>
      <w:rFonts w:ascii="Calibri Light" w:hAnsi="Calibri Light"/>
      <w:b/>
      <w:bCs/>
      <w:kern w:val="0"/>
      <w:sz w:val="24"/>
    </w:rPr>
  </w:style>
  <w:style w:type="paragraph" w:styleId="8">
    <w:name w:val="heading 7"/>
    <w:basedOn w:val="1"/>
    <w:next w:val="1"/>
    <w:link w:val="81"/>
    <w:autoRedefine/>
    <w:qFormat/>
    <w:uiPriority w:val="9"/>
    <w:pPr>
      <w:keepNext/>
      <w:keepLines/>
      <w:spacing w:before="240" w:after="64" w:line="320" w:lineRule="auto"/>
      <w:outlineLvl w:val="6"/>
    </w:pPr>
    <w:rPr>
      <w:b/>
      <w:bCs/>
      <w:sz w:val="24"/>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link w:val="115"/>
    <w:autoRedefine/>
    <w:qFormat/>
    <w:uiPriority w:val="0"/>
    <w:pPr>
      <w:ind w:firstLine="420" w:firstLineChars="200"/>
    </w:pPr>
  </w:style>
  <w:style w:type="paragraph" w:styleId="10">
    <w:name w:val="Document Map"/>
    <w:basedOn w:val="1"/>
    <w:link w:val="66"/>
    <w:autoRedefine/>
    <w:unhideWhenUsed/>
    <w:qFormat/>
    <w:uiPriority w:val="99"/>
    <w:rPr>
      <w:rFonts w:ascii="Microsoft YaHei UI" w:eastAsia="Microsoft YaHei UI"/>
      <w:kern w:val="0"/>
      <w:sz w:val="18"/>
      <w:szCs w:val="18"/>
    </w:rPr>
  </w:style>
  <w:style w:type="paragraph" w:styleId="11">
    <w:name w:val="annotation text"/>
    <w:basedOn w:val="1"/>
    <w:link w:val="82"/>
    <w:autoRedefine/>
    <w:qFormat/>
    <w:uiPriority w:val="0"/>
    <w:rPr>
      <w:kern w:val="0"/>
      <w:sz w:val="20"/>
    </w:rPr>
  </w:style>
  <w:style w:type="paragraph" w:styleId="12">
    <w:name w:val="Body Text"/>
    <w:basedOn w:val="1"/>
    <w:next w:val="13"/>
    <w:link w:val="75"/>
    <w:autoRedefine/>
    <w:qFormat/>
    <w:uiPriority w:val="0"/>
    <w:pPr>
      <w:spacing w:after="120"/>
    </w:pPr>
    <w:rPr>
      <w:kern w:val="0"/>
      <w:sz w:val="20"/>
    </w:rPr>
  </w:style>
  <w:style w:type="paragraph" w:customStyle="1" w:styleId="13">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styleId="14">
    <w:name w:val="Body Text Indent"/>
    <w:basedOn w:val="1"/>
    <w:next w:val="1"/>
    <w:link w:val="84"/>
    <w:autoRedefine/>
    <w:qFormat/>
    <w:uiPriority w:val="0"/>
    <w:pPr>
      <w:tabs>
        <w:tab w:val="left" w:pos="2160"/>
      </w:tabs>
      <w:ind w:left="2159" w:leftChars="1028" w:firstLine="1"/>
    </w:pPr>
    <w:rPr>
      <w:rFonts w:ascii="宋体" w:hAnsi="宋体"/>
      <w:kern w:val="0"/>
      <w:sz w:val="20"/>
      <w:szCs w:val="21"/>
    </w:rPr>
  </w:style>
  <w:style w:type="paragraph" w:styleId="15">
    <w:name w:val="index 4"/>
    <w:basedOn w:val="1"/>
    <w:next w:val="1"/>
    <w:autoRedefine/>
    <w:semiHidden/>
    <w:unhideWhenUsed/>
    <w:qFormat/>
    <w:uiPriority w:val="99"/>
    <w:pPr>
      <w:ind w:left="600" w:leftChars="600"/>
    </w:pPr>
  </w:style>
  <w:style w:type="paragraph" w:styleId="16">
    <w:name w:val="toc 3"/>
    <w:basedOn w:val="1"/>
    <w:next w:val="1"/>
    <w:autoRedefine/>
    <w:unhideWhenUsed/>
    <w:qFormat/>
    <w:uiPriority w:val="39"/>
    <w:pPr>
      <w:spacing w:after="100" w:line="259" w:lineRule="auto"/>
      <w:ind w:left="440"/>
    </w:pPr>
    <w:rPr>
      <w:rFonts w:ascii="Calibri" w:hAnsi="Calibri"/>
      <w:kern w:val="0"/>
      <w:sz w:val="22"/>
      <w:szCs w:val="22"/>
    </w:rPr>
  </w:style>
  <w:style w:type="paragraph" w:styleId="17">
    <w:name w:val="Plain Text"/>
    <w:basedOn w:val="1"/>
    <w:next w:val="1"/>
    <w:link w:val="77"/>
    <w:autoRedefine/>
    <w:qFormat/>
    <w:uiPriority w:val="0"/>
    <w:rPr>
      <w:rFonts w:ascii="宋体" w:hAnsi="Courier New"/>
      <w:kern w:val="0"/>
      <w:sz w:val="20"/>
      <w:szCs w:val="20"/>
    </w:rPr>
  </w:style>
  <w:style w:type="paragraph" w:styleId="18">
    <w:name w:val="Date"/>
    <w:basedOn w:val="1"/>
    <w:next w:val="1"/>
    <w:link w:val="85"/>
    <w:autoRedefine/>
    <w:qFormat/>
    <w:uiPriority w:val="0"/>
    <w:pPr>
      <w:ind w:left="100" w:leftChars="2500"/>
    </w:pPr>
    <w:rPr>
      <w:kern w:val="0"/>
      <w:sz w:val="20"/>
    </w:rPr>
  </w:style>
  <w:style w:type="paragraph" w:styleId="19">
    <w:name w:val="Balloon Text"/>
    <w:basedOn w:val="1"/>
    <w:link w:val="62"/>
    <w:autoRedefine/>
    <w:qFormat/>
    <w:uiPriority w:val="99"/>
    <w:rPr>
      <w:kern w:val="0"/>
      <w:sz w:val="18"/>
      <w:szCs w:val="18"/>
    </w:rPr>
  </w:style>
  <w:style w:type="paragraph" w:styleId="20">
    <w:name w:val="footer"/>
    <w:basedOn w:val="1"/>
    <w:link w:val="61"/>
    <w:autoRedefine/>
    <w:qFormat/>
    <w:uiPriority w:val="0"/>
    <w:pPr>
      <w:tabs>
        <w:tab w:val="center" w:pos="4153"/>
        <w:tab w:val="right" w:pos="8306"/>
      </w:tabs>
      <w:snapToGrid w:val="0"/>
    </w:pPr>
    <w:rPr>
      <w:kern w:val="0"/>
      <w:sz w:val="18"/>
      <w:szCs w:val="20"/>
    </w:rPr>
  </w:style>
  <w:style w:type="paragraph" w:styleId="21">
    <w:name w:val="header"/>
    <w:basedOn w:val="1"/>
    <w:link w:val="80"/>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2">
    <w:name w:val="toc 1"/>
    <w:basedOn w:val="1"/>
    <w:next w:val="1"/>
    <w:autoRedefine/>
    <w:qFormat/>
    <w:uiPriority w:val="39"/>
    <w:pPr>
      <w:tabs>
        <w:tab w:val="right" w:leader="dot" w:pos="8296"/>
      </w:tabs>
    </w:pPr>
  </w:style>
  <w:style w:type="paragraph" w:styleId="23">
    <w:name w:val="Subtitle"/>
    <w:basedOn w:val="1"/>
    <w:next w:val="1"/>
    <w:link w:val="67"/>
    <w:autoRedefine/>
    <w:qFormat/>
    <w:uiPriority w:val="0"/>
    <w:pPr>
      <w:spacing w:before="240" w:after="60" w:line="312" w:lineRule="auto"/>
      <w:jc w:val="center"/>
      <w:outlineLvl w:val="1"/>
    </w:pPr>
    <w:rPr>
      <w:rFonts w:ascii="Calibri Light" w:hAnsi="Calibri Light"/>
      <w:b/>
      <w:bCs/>
      <w:kern w:val="28"/>
      <w:sz w:val="32"/>
      <w:szCs w:val="32"/>
    </w:rPr>
  </w:style>
  <w:style w:type="paragraph" w:styleId="24">
    <w:name w:val="Body Text Indent 3"/>
    <w:basedOn w:val="1"/>
    <w:link w:val="63"/>
    <w:autoRedefine/>
    <w:qFormat/>
    <w:uiPriority w:val="0"/>
    <w:pPr>
      <w:spacing w:after="120"/>
      <w:ind w:left="420" w:leftChars="200"/>
    </w:pPr>
    <w:rPr>
      <w:kern w:val="0"/>
      <w:sz w:val="16"/>
      <w:szCs w:val="16"/>
    </w:rPr>
  </w:style>
  <w:style w:type="paragraph" w:styleId="25">
    <w:name w:val="toc 2"/>
    <w:basedOn w:val="1"/>
    <w:next w:val="1"/>
    <w:autoRedefine/>
    <w:unhideWhenUsed/>
    <w:qFormat/>
    <w:uiPriority w:val="39"/>
    <w:pPr>
      <w:spacing w:after="100" w:line="259" w:lineRule="auto"/>
      <w:ind w:left="220"/>
    </w:pPr>
    <w:rPr>
      <w:rFonts w:ascii="Calibri" w:hAnsi="Calibri"/>
      <w:kern w:val="0"/>
      <w:sz w:val="22"/>
      <w:szCs w:val="22"/>
    </w:rPr>
  </w:style>
  <w:style w:type="paragraph" w:styleId="26">
    <w:name w:val="toc 9"/>
    <w:basedOn w:val="1"/>
    <w:next w:val="1"/>
    <w:autoRedefine/>
    <w:qFormat/>
    <w:uiPriority w:val="0"/>
    <w:pPr>
      <w:ind w:left="3360" w:leftChars="1600"/>
    </w:pPr>
  </w:style>
  <w:style w:type="paragraph" w:styleId="27">
    <w:name w:val="HTML Preformatted"/>
    <w:basedOn w:val="1"/>
    <w:link w:val="106"/>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rPr>
  </w:style>
  <w:style w:type="paragraph" w:styleId="28">
    <w:name w:val="Normal (Web)"/>
    <w:basedOn w:val="1"/>
    <w:autoRedefine/>
    <w:unhideWhenUsed/>
    <w:qFormat/>
    <w:uiPriority w:val="0"/>
    <w:pPr>
      <w:spacing w:before="100" w:beforeAutospacing="1" w:after="100" w:afterAutospacing="1"/>
    </w:pPr>
    <w:rPr>
      <w:rFonts w:ascii="宋体" w:hAnsi="宋体" w:cs="宋体"/>
      <w:kern w:val="0"/>
      <w:sz w:val="24"/>
    </w:rPr>
  </w:style>
  <w:style w:type="paragraph" w:styleId="29">
    <w:name w:val="Title"/>
    <w:basedOn w:val="1"/>
    <w:next w:val="1"/>
    <w:link w:val="83"/>
    <w:autoRedefine/>
    <w:qFormat/>
    <w:uiPriority w:val="0"/>
    <w:pPr>
      <w:spacing w:before="240" w:after="60"/>
      <w:jc w:val="center"/>
      <w:outlineLvl w:val="0"/>
    </w:pPr>
    <w:rPr>
      <w:rFonts w:ascii="Cambria" w:hAnsi="Cambria"/>
      <w:b/>
      <w:bCs/>
      <w:kern w:val="0"/>
      <w:sz w:val="36"/>
      <w:szCs w:val="32"/>
    </w:rPr>
  </w:style>
  <w:style w:type="paragraph" w:styleId="30">
    <w:name w:val="annotation subject"/>
    <w:basedOn w:val="11"/>
    <w:next w:val="11"/>
    <w:link w:val="59"/>
    <w:autoRedefine/>
    <w:qFormat/>
    <w:uiPriority w:val="99"/>
    <w:rPr>
      <w:b/>
      <w:bCs/>
    </w:rPr>
  </w:style>
  <w:style w:type="paragraph" w:styleId="31">
    <w:name w:val="Body Text First Indent"/>
    <w:basedOn w:val="12"/>
    <w:next w:val="17"/>
    <w:link w:val="74"/>
    <w:autoRedefine/>
    <w:qFormat/>
    <w:uiPriority w:val="0"/>
    <w:pPr>
      <w:ind w:firstLine="420" w:firstLineChars="100"/>
    </w:pPr>
  </w:style>
  <w:style w:type="paragraph" w:styleId="32">
    <w:name w:val="Body Text First Indent 2"/>
    <w:basedOn w:val="14"/>
    <w:autoRedefine/>
    <w:unhideWhenUsed/>
    <w:qFormat/>
    <w:uiPriority w:val="99"/>
    <w:pPr>
      <w:spacing w:line="360" w:lineRule="auto"/>
      <w:ind w:left="0" w:firstLine="420" w:firstLineChars="200"/>
    </w:pPr>
    <w:rPr>
      <w:rFonts w:eastAsia="仿宋_GB2312"/>
      <w:spacing w:val="15"/>
      <w:kern w:val="10"/>
      <w:sz w:val="24"/>
      <w:szCs w:val="24"/>
    </w:rPr>
  </w:style>
  <w:style w:type="table" w:styleId="34">
    <w:name w:val="Table Grid"/>
    <w:basedOn w:val="3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bCs/>
    </w:rPr>
  </w:style>
  <w:style w:type="character" w:styleId="37">
    <w:name w:val="page number"/>
    <w:autoRedefine/>
    <w:qFormat/>
    <w:uiPriority w:val="0"/>
  </w:style>
  <w:style w:type="character" w:styleId="38">
    <w:name w:val="FollowedHyperlink"/>
    <w:autoRedefine/>
    <w:qFormat/>
    <w:uiPriority w:val="99"/>
    <w:rPr>
      <w:color w:val="0000FF"/>
      <w:u w:val="single"/>
    </w:rPr>
  </w:style>
  <w:style w:type="character" w:styleId="39">
    <w:name w:val="Emphasis"/>
    <w:autoRedefine/>
    <w:qFormat/>
    <w:uiPriority w:val="20"/>
    <w:rPr>
      <w:i/>
      <w:iCs/>
    </w:rPr>
  </w:style>
  <w:style w:type="character" w:styleId="40">
    <w:name w:val="Hyperlink"/>
    <w:autoRedefine/>
    <w:qFormat/>
    <w:uiPriority w:val="99"/>
    <w:rPr>
      <w:color w:val="000099"/>
      <w:u w:val="none"/>
    </w:rPr>
  </w:style>
  <w:style w:type="character" w:styleId="41">
    <w:name w:val="annotation reference"/>
    <w:autoRedefine/>
    <w:qFormat/>
    <w:uiPriority w:val="99"/>
    <w:rPr>
      <w:sz w:val="21"/>
      <w:szCs w:val="21"/>
    </w:rPr>
  </w:style>
  <w:style w:type="character" w:styleId="42">
    <w:name w:val="HTML Cite"/>
    <w:autoRedefine/>
    <w:unhideWhenUsed/>
    <w:qFormat/>
    <w:uiPriority w:val="99"/>
    <w:rPr>
      <w:color w:val="008000"/>
    </w:rPr>
  </w:style>
  <w:style w:type="paragraph" w:customStyle="1" w:styleId="43">
    <w:name w:val="_Style 0"/>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0_0"/>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45">
    <w:name w:val="3"/>
    <w:basedOn w:val="1"/>
    <w:autoRedefine/>
    <w:qFormat/>
    <w:uiPriority w:val="34"/>
    <w:pPr>
      <w:ind w:firstLine="420" w:firstLineChars="200"/>
    </w:pPr>
  </w:style>
  <w:style w:type="paragraph" w:customStyle="1" w:styleId="46">
    <w:name w:val="xl54"/>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7">
    <w:name w:val="_Style 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2"/>
    <w:link w:val="79"/>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xl52"/>
    <w:basedOn w:val="1"/>
    <w:autoRedefine/>
    <w:qFormat/>
    <w:uiPriority w:val="0"/>
    <w:pPr>
      <w:spacing w:before="100" w:beforeAutospacing="1" w:after="100" w:afterAutospacing="1"/>
      <w:jc w:val="center"/>
      <w:textAlignment w:val="top"/>
    </w:pPr>
    <w:rPr>
      <w:kern w:val="0"/>
      <w:sz w:val="20"/>
      <w:szCs w:val="20"/>
    </w:rPr>
  </w:style>
  <w:style w:type="paragraph" w:customStyle="1" w:styleId="50">
    <w:name w:val="Table Text Char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51">
    <w:name w:val="_Style 3"/>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Char1"/>
    <w:basedOn w:val="10"/>
    <w:autoRedefine/>
    <w:qFormat/>
    <w:uiPriority w:val="0"/>
    <w:pPr>
      <w:shd w:val="clear" w:color="auto" w:fill="000080"/>
    </w:pPr>
    <w:rPr>
      <w:rFonts w:ascii="Times New Roman" w:eastAsia="宋体"/>
      <w:sz w:val="21"/>
      <w:szCs w:val="20"/>
      <w:shd w:val="clear" w:color="auto" w:fill="000080"/>
    </w:rPr>
  </w:style>
  <w:style w:type="paragraph" w:customStyle="1" w:styleId="53">
    <w:name w:val="Table Text"/>
    <w:basedOn w:val="1"/>
    <w:autoRedefine/>
    <w:qFormat/>
    <w:uiPriority w:val="0"/>
    <w:pPr>
      <w:tabs>
        <w:tab w:val="decimal" w:pos="0"/>
      </w:tabs>
      <w:autoSpaceDE w:val="0"/>
      <w:autoSpaceDN w:val="0"/>
      <w:adjustRightInd w:val="0"/>
      <w:spacing w:before="80" w:after="80"/>
    </w:pPr>
    <w:rPr>
      <w:rFonts w:ascii="Arial" w:hAnsi="Arial"/>
      <w:kern w:val="0"/>
      <w:sz w:val="18"/>
      <w:szCs w:val="20"/>
    </w:rPr>
  </w:style>
  <w:style w:type="paragraph" w:customStyle="1" w:styleId="54">
    <w:name w:val="列出段落111"/>
    <w:basedOn w:val="1"/>
    <w:autoRedefine/>
    <w:qFormat/>
    <w:uiPriority w:val="0"/>
    <w:pPr>
      <w:ind w:firstLine="420" w:firstLineChars="200"/>
    </w:pPr>
    <w:rPr>
      <w:rFonts w:ascii="Calibri" w:hAnsi="Calibri"/>
      <w:sz w:val="28"/>
    </w:rPr>
  </w:style>
  <w:style w:type="paragraph" w:customStyle="1" w:styleId="55">
    <w:name w:val="样式1"/>
    <w:basedOn w:val="1"/>
    <w:autoRedefine/>
    <w:qFormat/>
    <w:uiPriority w:val="0"/>
    <w:rPr>
      <w:rFonts w:eastAsia="仿宋_GB2312"/>
      <w:kern w:val="0"/>
      <w:sz w:val="32"/>
      <w:szCs w:val="20"/>
    </w:rPr>
  </w:style>
  <w:style w:type="paragraph" w:customStyle="1" w:styleId="56">
    <w:name w:val="1"/>
    <w:basedOn w:val="2"/>
    <w:next w:val="1"/>
    <w:autoRedefine/>
    <w:qFormat/>
    <w:uiPriority w:val="39"/>
    <w:pPr>
      <w:numPr>
        <w:numId w:val="0"/>
      </w:numPr>
      <w:snapToGrid/>
      <w:spacing w:before="240" w:line="259" w:lineRule="auto"/>
      <w:outlineLvl w:val="9"/>
    </w:pPr>
    <w:rPr>
      <w:rFonts w:ascii="Calibri Light" w:hAnsi="Calibri Light" w:eastAsia="宋体"/>
      <w:color w:val="2E74B5"/>
      <w:kern w:val="0"/>
      <w:sz w:val="32"/>
      <w:szCs w:val="32"/>
    </w:rPr>
  </w:style>
  <w:style w:type="paragraph" w:customStyle="1" w:styleId="57">
    <w:name w:val="列出段落11"/>
    <w:basedOn w:val="1"/>
    <w:autoRedefine/>
    <w:qFormat/>
    <w:uiPriority w:val="0"/>
    <w:pPr>
      <w:ind w:firstLine="420" w:firstLineChars="200"/>
    </w:pPr>
  </w:style>
  <w:style w:type="paragraph" w:customStyle="1" w:styleId="58">
    <w:name w:val="正文_0"/>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customStyle="1" w:styleId="59">
    <w:name w:val="批注主题 Char1"/>
    <w:link w:val="30"/>
    <w:autoRedefine/>
    <w:qFormat/>
    <w:uiPriority w:val="99"/>
    <w:rPr>
      <w:rFonts w:ascii="Times New Roman" w:hAnsi="Times New Roman" w:eastAsia="宋体" w:cs="Times New Roman"/>
      <w:b/>
      <w:bCs/>
      <w:szCs w:val="24"/>
    </w:rPr>
  </w:style>
  <w:style w:type="character" w:customStyle="1" w:styleId="60">
    <w:name w:val="标题 1 Char"/>
    <w:link w:val="2"/>
    <w:autoRedefine/>
    <w:qFormat/>
    <w:uiPriority w:val="0"/>
    <w:rPr>
      <w:rFonts w:ascii="宋体" w:eastAsia="黑体"/>
      <w:kern w:val="28"/>
      <w:sz w:val="28"/>
    </w:rPr>
  </w:style>
  <w:style w:type="character" w:customStyle="1" w:styleId="61">
    <w:name w:val="页脚 Char"/>
    <w:link w:val="20"/>
    <w:autoRedefine/>
    <w:qFormat/>
    <w:uiPriority w:val="99"/>
    <w:rPr>
      <w:rFonts w:ascii="Times New Roman" w:hAnsi="Times New Roman" w:eastAsia="宋体" w:cs="Times New Roman"/>
      <w:sz w:val="18"/>
      <w:szCs w:val="20"/>
    </w:rPr>
  </w:style>
  <w:style w:type="character" w:customStyle="1" w:styleId="62">
    <w:name w:val="批注框文本 Char"/>
    <w:link w:val="19"/>
    <w:autoRedefine/>
    <w:qFormat/>
    <w:uiPriority w:val="99"/>
    <w:rPr>
      <w:rFonts w:ascii="Times New Roman" w:hAnsi="Times New Roman" w:eastAsia="宋体" w:cs="Times New Roman"/>
      <w:sz w:val="18"/>
      <w:szCs w:val="18"/>
    </w:rPr>
  </w:style>
  <w:style w:type="character" w:customStyle="1" w:styleId="63">
    <w:name w:val="正文文本缩进 3 Char"/>
    <w:link w:val="24"/>
    <w:autoRedefine/>
    <w:qFormat/>
    <w:uiPriority w:val="0"/>
    <w:rPr>
      <w:rFonts w:ascii="Times New Roman" w:hAnsi="Times New Roman" w:eastAsia="宋体" w:cs="Times New Roman"/>
      <w:sz w:val="16"/>
      <w:szCs w:val="16"/>
    </w:rPr>
  </w:style>
  <w:style w:type="character" w:customStyle="1" w:styleId="64">
    <w:name w:val="标题 6 Char"/>
    <w:link w:val="7"/>
    <w:autoRedefine/>
    <w:qFormat/>
    <w:uiPriority w:val="0"/>
    <w:rPr>
      <w:rFonts w:ascii="Calibri Light" w:hAnsi="Calibri Light" w:eastAsia="宋体" w:cs="Times New Roman"/>
      <w:b/>
      <w:bCs/>
      <w:sz w:val="24"/>
      <w:szCs w:val="24"/>
    </w:rPr>
  </w:style>
  <w:style w:type="character" w:customStyle="1" w:styleId="65">
    <w:name w:val="标题 2 Char"/>
    <w:link w:val="3"/>
    <w:autoRedefine/>
    <w:qFormat/>
    <w:uiPriority w:val="0"/>
    <w:rPr>
      <w:rFonts w:ascii="宋体"/>
      <w:kern w:val="2"/>
      <w:sz w:val="28"/>
    </w:rPr>
  </w:style>
  <w:style w:type="character" w:customStyle="1" w:styleId="66">
    <w:name w:val="文档结构图 Char"/>
    <w:link w:val="10"/>
    <w:autoRedefine/>
    <w:semiHidden/>
    <w:qFormat/>
    <w:uiPriority w:val="99"/>
    <w:rPr>
      <w:rFonts w:ascii="Microsoft YaHei UI" w:hAnsi="Times New Roman" w:eastAsia="Microsoft YaHei UI" w:cs="Times New Roman"/>
      <w:sz w:val="18"/>
      <w:szCs w:val="18"/>
    </w:rPr>
  </w:style>
  <w:style w:type="character" w:customStyle="1" w:styleId="67">
    <w:name w:val="副标题 Char"/>
    <w:link w:val="23"/>
    <w:autoRedefine/>
    <w:qFormat/>
    <w:uiPriority w:val="0"/>
    <w:rPr>
      <w:rFonts w:ascii="Calibri Light" w:hAnsi="Calibri Light" w:eastAsia="宋体" w:cs="Times New Roman"/>
      <w:b/>
      <w:bCs/>
      <w:kern w:val="28"/>
      <w:sz w:val="32"/>
      <w:szCs w:val="32"/>
    </w:rPr>
  </w:style>
  <w:style w:type="character" w:customStyle="1" w:styleId="68">
    <w:name w:val="标题 4 Char"/>
    <w:link w:val="5"/>
    <w:autoRedefine/>
    <w:qFormat/>
    <w:uiPriority w:val="0"/>
    <w:rPr>
      <w:rFonts w:ascii="Calibri Light" w:hAnsi="Calibri Light" w:eastAsia="宋体" w:cs="Times New Roman"/>
      <w:b/>
      <w:bCs/>
      <w:sz w:val="28"/>
      <w:szCs w:val="28"/>
    </w:rPr>
  </w:style>
  <w:style w:type="character" w:customStyle="1" w:styleId="69">
    <w:name w:val="标题 Char1"/>
    <w:autoRedefine/>
    <w:qFormat/>
    <w:uiPriority w:val="0"/>
    <w:rPr>
      <w:rFonts w:ascii="Calibri Light" w:hAnsi="Calibri Light" w:eastAsia="宋体" w:cs="Times New Roman"/>
      <w:b/>
      <w:bCs/>
      <w:sz w:val="32"/>
      <w:szCs w:val="32"/>
    </w:rPr>
  </w:style>
  <w:style w:type="character" w:customStyle="1" w:styleId="70">
    <w:name w:val="批注文字 Char"/>
    <w:autoRedefine/>
    <w:qFormat/>
    <w:uiPriority w:val="0"/>
    <w:rPr>
      <w:rFonts w:ascii="Times New Roman" w:hAnsi="Times New Roman" w:eastAsia="宋体" w:cs="Times New Roman"/>
      <w:szCs w:val="24"/>
    </w:rPr>
  </w:style>
  <w:style w:type="character" w:customStyle="1" w:styleId="71">
    <w:name w:val="标题 5 Char"/>
    <w:link w:val="6"/>
    <w:autoRedefine/>
    <w:qFormat/>
    <w:uiPriority w:val="0"/>
    <w:rPr>
      <w:rFonts w:ascii="Times New Roman" w:hAnsi="Times New Roman" w:eastAsia="宋体" w:cs="Times New Roman"/>
      <w:b/>
      <w:bCs/>
      <w:sz w:val="28"/>
      <w:szCs w:val="28"/>
    </w:rPr>
  </w:style>
  <w:style w:type="character" w:customStyle="1" w:styleId="72">
    <w:name w:val="Table Text Char Char Char"/>
    <w:autoRedefine/>
    <w:qFormat/>
    <w:uiPriority w:val="0"/>
    <w:rPr>
      <w:rFonts w:ascii="Arial" w:hAnsi="Arial" w:eastAsia="宋体" w:cs="Arial"/>
      <w:sz w:val="18"/>
      <w:szCs w:val="18"/>
      <w:lang w:val="en-US" w:eastAsia="zh-CN" w:bidi="ar-SA"/>
    </w:rPr>
  </w:style>
  <w:style w:type="character" w:customStyle="1" w:styleId="73">
    <w:name w:val="标题 3 Char"/>
    <w:link w:val="4"/>
    <w:autoRedefine/>
    <w:qFormat/>
    <w:uiPriority w:val="0"/>
    <w:rPr>
      <w:rFonts w:ascii="宋体"/>
      <w:kern w:val="2"/>
      <w:sz w:val="28"/>
    </w:rPr>
  </w:style>
  <w:style w:type="character" w:customStyle="1" w:styleId="74">
    <w:name w:val="正文首行缩进 Char"/>
    <w:link w:val="31"/>
    <w:autoRedefine/>
    <w:qFormat/>
    <w:uiPriority w:val="0"/>
    <w:rPr>
      <w:rFonts w:ascii="Times New Roman" w:hAnsi="Times New Roman" w:eastAsia="宋体" w:cs="Times New Roman"/>
      <w:szCs w:val="24"/>
    </w:rPr>
  </w:style>
  <w:style w:type="character" w:customStyle="1" w:styleId="75">
    <w:name w:val="正文文本 Char"/>
    <w:link w:val="12"/>
    <w:autoRedefine/>
    <w:qFormat/>
    <w:uiPriority w:val="0"/>
    <w:rPr>
      <w:rFonts w:ascii="Times New Roman" w:hAnsi="Times New Roman" w:eastAsia="宋体" w:cs="Times New Roman"/>
      <w:szCs w:val="24"/>
    </w:rPr>
  </w:style>
  <w:style w:type="character" w:customStyle="1" w:styleId="76">
    <w:name w:val="纯文本 Char"/>
    <w:autoRedefine/>
    <w:qFormat/>
    <w:uiPriority w:val="0"/>
    <w:rPr>
      <w:rFonts w:ascii="宋体" w:hAnsi="Courier New" w:eastAsia="宋体" w:cs="Courier New"/>
      <w:szCs w:val="21"/>
    </w:rPr>
  </w:style>
  <w:style w:type="character" w:customStyle="1" w:styleId="77">
    <w:name w:val="纯文本 Char2"/>
    <w:link w:val="17"/>
    <w:autoRedefine/>
    <w:qFormat/>
    <w:uiPriority w:val="0"/>
    <w:rPr>
      <w:rFonts w:ascii="宋体" w:hAnsi="Courier New" w:eastAsia="宋体" w:cs="Times New Roman"/>
      <w:szCs w:val="20"/>
    </w:rPr>
  </w:style>
  <w:style w:type="character" w:customStyle="1" w:styleId="78">
    <w:name w:val="Table Text Char"/>
    <w:autoRedefine/>
    <w:qFormat/>
    <w:uiPriority w:val="0"/>
    <w:rPr>
      <w:rFonts w:ascii="Arial" w:hAnsi="Arial" w:eastAsia="宋体"/>
      <w:sz w:val="18"/>
      <w:lang w:val="en-US" w:eastAsia="zh-CN" w:bidi="ar-SA"/>
    </w:rPr>
  </w:style>
  <w:style w:type="character" w:customStyle="1" w:styleId="79">
    <w:name w:val="无间隔 Char"/>
    <w:link w:val="48"/>
    <w:autoRedefine/>
    <w:qFormat/>
    <w:uiPriority w:val="1"/>
    <w:rPr>
      <w:rFonts w:ascii="Times New Roman" w:hAnsi="Times New Roman"/>
      <w:kern w:val="2"/>
      <w:sz w:val="21"/>
      <w:szCs w:val="24"/>
      <w:lang w:val="en-US" w:eastAsia="zh-CN" w:bidi="ar-SA"/>
    </w:rPr>
  </w:style>
  <w:style w:type="character" w:customStyle="1" w:styleId="80">
    <w:name w:val="页眉 Char1"/>
    <w:link w:val="21"/>
    <w:autoRedefine/>
    <w:qFormat/>
    <w:uiPriority w:val="99"/>
    <w:rPr>
      <w:rFonts w:ascii="Times New Roman" w:hAnsi="Times New Roman" w:eastAsia="宋体" w:cs="Times New Roman"/>
      <w:sz w:val="18"/>
      <w:szCs w:val="20"/>
    </w:rPr>
  </w:style>
  <w:style w:type="character" w:customStyle="1" w:styleId="81">
    <w:name w:val="标题 7 Char"/>
    <w:link w:val="8"/>
    <w:autoRedefine/>
    <w:semiHidden/>
    <w:qFormat/>
    <w:uiPriority w:val="9"/>
    <w:rPr>
      <w:rFonts w:ascii="Times New Roman" w:hAnsi="Times New Roman"/>
      <w:b/>
      <w:bCs/>
      <w:kern w:val="2"/>
      <w:sz w:val="24"/>
      <w:szCs w:val="24"/>
    </w:rPr>
  </w:style>
  <w:style w:type="character" w:customStyle="1" w:styleId="82">
    <w:name w:val="批注文字 Char1"/>
    <w:link w:val="11"/>
    <w:autoRedefine/>
    <w:qFormat/>
    <w:uiPriority w:val="0"/>
    <w:rPr>
      <w:rFonts w:ascii="Times New Roman" w:hAnsi="Times New Roman" w:eastAsia="宋体" w:cs="Times New Roman"/>
      <w:szCs w:val="24"/>
    </w:rPr>
  </w:style>
  <w:style w:type="character" w:customStyle="1" w:styleId="83">
    <w:name w:val="标题 Char"/>
    <w:link w:val="29"/>
    <w:autoRedefine/>
    <w:qFormat/>
    <w:uiPriority w:val="0"/>
    <w:rPr>
      <w:rFonts w:ascii="Cambria" w:hAnsi="Cambria"/>
      <w:b/>
      <w:bCs/>
      <w:sz w:val="36"/>
      <w:szCs w:val="32"/>
    </w:rPr>
  </w:style>
  <w:style w:type="character" w:customStyle="1" w:styleId="84">
    <w:name w:val="正文文本缩进 Char"/>
    <w:link w:val="14"/>
    <w:autoRedefine/>
    <w:qFormat/>
    <w:uiPriority w:val="0"/>
    <w:rPr>
      <w:rFonts w:ascii="宋体" w:hAnsi="宋体" w:eastAsia="宋体" w:cs="Times New Roman"/>
      <w:szCs w:val="21"/>
    </w:rPr>
  </w:style>
  <w:style w:type="character" w:customStyle="1" w:styleId="85">
    <w:name w:val="日期 Char"/>
    <w:link w:val="18"/>
    <w:autoRedefine/>
    <w:qFormat/>
    <w:uiPriority w:val="0"/>
    <w:rPr>
      <w:rFonts w:ascii="Times New Roman" w:hAnsi="Times New Roman" w:eastAsia="宋体" w:cs="Times New Roman"/>
      <w:szCs w:val="24"/>
    </w:rPr>
  </w:style>
  <w:style w:type="character" w:customStyle="1" w:styleId="86">
    <w:name w:val="批注主题 Char"/>
    <w:autoRedefine/>
    <w:semiHidden/>
    <w:qFormat/>
    <w:uiPriority w:val="99"/>
    <w:rPr>
      <w:rFonts w:ascii="Times New Roman" w:hAnsi="Times New Roman" w:eastAsia="宋体" w:cs="Times New Roman"/>
      <w:b/>
      <w:bCs/>
      <w:szCs w:val="24"/>
    </w:rPr>
  </w:style>
  <w:style w:type="paragraph" w:customStyle="1" w:styleId="87">
    <w:name w:val="p16"/>
    <w:basedOn w:val="1"/>
    <w:autoRedefine/>
    <w:qFormat/>
    <w:uiPriority w:val="0"/>
    <w:rPr>
      <w:rFonts w:ascii="宋体" w:hAnsi="宋体" w:cs="宋体"/>
      <w:kern w:val="0"/>
      <w:szCs w:val="21"/>
    </w:rPr>
  </w:style>
  <w:style w:type="paragraph" w:styleId="88">
    <w:name w:val="List Paragraph"/>
    <w:basedOn w:val="1"/>
    <w:link w:val="122"/>
    <w:autoRedefine/>
    <w:unhideWhenUsed/>
    <w:qFormat/>
    <w:uiPriority w:val="34"/>
    <w:pPr>
      <w:ind w:firstLine="420" w:firstLineChars="200"/>
    </w:pPr>
  </w:style>
  <w:style w:type="paragraph" w:customStyle="1" w:styleId="89">
    <w:name w:val="列出段落1"/>
    <w:basedOn w:val="1"/>
    <w:autoRedefine/>
    <w:qFormat/>
    <w:uiPriority w:val="0"/>
    <w:pPr>
      <w:ind w:firstLine="420" w:firstLineChars="200"/>
    </w:pPr>
    <w:rPr>
      <w:rFonts w:ascii="Calibri" w:hAnsi="Calibri" w:cs="黑体"/>
      <w:szCs w:val="22"/>
    </w:rPr>
  </w:style>
  <w:style w:type="paragraph" w:styleId="90">
    <w:name w:val="No Spacing"/>
    <w:link w:val="105"/>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段 Char Char"/>
    <w:link w:val="92"/>
    <w:autoRedefine/>
    <w:qFormat/>
    <w:uiPriority w:val="0"/>
    <w:rPr>
      <w:rFonts w:ascii="宋体"/>
      <w:sz w:val="21"/>
      <w:lang w:val="en-US" w:eastAsia="zh-CN" w:bidi="ar-SA"/>
    </w:rPr>
  </w:style>
  <w:style w:type="paragraph" w:customStyle="1" w:styleId="92">
    <w:name w:val="段"/>
    <w:link w:val="91"/>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93">
    <w:name w:val="三级条标题 Char Char"/>
    <w:link w:val="94"/>
    <w:autoRedefine/>
    <w:qFormat/>
    <w:uiPriority w:val="0"/>
    <w:rPr>
      <w:rFonts w:ascii="黑体" w:eastAsia="黑体"/>
      <w:sz w:val="21"/>
    </w:rPr>
  </w:style>
  <w:style w:type="paragraph" w:customStyle="1" w:styleId="94">
    <w:name w:val="三级条标题"/>
    <w:basedOn w:val="95"/>
    <w:next w:val="92"/>
    <w:link w:val="93"/>
    <w:autoRedefine/>
    <w:qFormat/>
    <w:uiPriority w:val="0"/>
    <w:pPr>
      <w:tabs>
        <w:tab w:val="left" w:pos="720"/>
        <w:tab w:val="left" w:pos="992"/>
      </w:tabs>
      <w:ind w:left="992" w:hanging="992"/>
      <w:outlineLvl w:val="4"/>
    </w:pPr>
  </w:style>
  <w:style w:type="paragraph" w:customStyle="1" w:styleId="95">
    <w:name w:val="二级条标题"/>
    <w:basedOn w:val="96"/>
    <w:next w:val="92"/>
    <w:link w:val="98"/>
    <w:autoRedefine/>
    <w:qFormat/>
    <w:uiPriority w:val="0"/>
    <w:pPr>
      <w:tabs>
        <w:tab w:val="left" w:pos="720"/>
      </w:tabs>
      <w:outlineLvl w:val="3"/>
    </w:pPr>
  </w:style>
  <w:style w:type="paragraph" w:customStyle="1" w:styleId="96">
    <w:name w:val="一级条标题"/>
    <w:basedOn w:val="97"/>
    <w:next w:val="92"/>
    <w:link w:val="100"/>
    <w:autoRedefine/>
    <w:qFormat/>
    <w:uiPriority w:val="0"/>
    <w:pPr>
      <w:tabs>
        <w:tab w:val="left" w:pos="720"/>
      </w:tabs>
      <w:spacing w:beforeLines="0" w:afterLines="0"/>
      <w:outlineLvl w:val="2"/>
    </w:pPr>
  </w:style>
  <w:style w:type="paragraph" w:customStyle="1" w:styleId="97">
    <w:name w:val="章标题"/>
    <w:next w:val="92"/>
    <w:link w:val="99"/>
    <w:autoRedefine/>
    <w:qFormat/>
    <w:uiPriority w:val="0"/>
    <w:pPr>
      <w:tabs>
        <w:tab w:val="left" w:pos="720"/>
      </w:tabs>
      <w:spacing w:beforeLines="50" w:afterLines="50"/>
      <w:ind w:left="567" w:hanging="567"/>
      <w:jc w:val="both"/>
      <w:outlineLvl w:val="1"/>
    </w:pPr>
    <w:rPr>
      <w:rFonts w:ascii="黑体" w:hAnsi="Calibri" w:eastAsia="黑体" w:cs="Times New Roman"/>
      <w:sz w:val="21"/>
      <w:lang w:val="en-US" w:eastAsia="zh-CN" w:bidi="ar-SA"/>
    </w:rPr>
  </w:style>
  <w:style w:type="character" w:customStyle="1" w:styleId="98">
    <w:name w:val="二级条标题 Char Char"/>
    <w:link w:val="95"/>
    <w:autoRedefine/>
    <w:qFormat/>
    <w:uiPriority w:val="0"/>
    <w:rPr>
      <w:rFonts w:ascii="黑体" w:eastAsia="黑体"/>
      <w:sz w:val="21"/>
    </w:rPr>
  </w:style>
  <w:style w:type="character" w:customStyle="1" w:styleId="99">
    <w:name w:val="章标题 Char Char"/>
    <w:link w:val="97"/>
    <w:autoRedefine/>
    <w:qFormat/>
    <w:uiPriority w:val="0"/>
    <w:rPr>
      <w:rFonts w:ascii="黑体" w:eastAsia="黑体"/>
      <w:sz w:val="21"/>
      <w:lang w:val="en-US" w:eastAsia="zh-CN" w:bidi="ar-SA"/>
    </w:rPr>
  </w:style>
  <w:style w:type="character" w:customStyle="1" w:styleId="100">
    <w:name w:val="一级条标题 Char Char"/>
    <w:link w:val="96"/>
    <w:autoRedefine/>
    <w:qFormat/>
    <w:uiPriority w:val="0"/>
    <w:rPr>
      <w:rFonts w:ascii="黑体" w:eastAsia="黑体"/>
      <w:sz w:val="21"/>
    </w:rPr>
  </w:style>
  <w:style w:type="paragraph" w:customStyle="1" w:styleId="101">
    <w:name w:val="正文图标题"/>
    <w:next w:val="92"/>
    <w:autoRedefine/>
    <w:qFormat/>
    <w:uiPriority w:val="0"/>
    <w:pPr>
      <w:ind w:left="360" w:hanging="360"/>
      <w:jc w:val="center"/>
    </w:pPr>
    <w:rPr>
      <w:rFonts w:ascii="黑体" w:hAnsi="Times New Roman" w:eastAsia="黑体" w:cs="Times New Roman"/>
      <w:sz w:val="21"/>
      <w:lang w:val="en-US" w:eastAsia="zh-CN" w:bidi="ar-SA"/>
    </w:rPr>
  </w:style>
  <w:style w:type="paragraph" w:customStyle="1" w:styleId="102">
    <w:name w:val="正文表标题"/>
    <w:next w:val="92"/>
    <w:autoRedefine/>
    <w:qFormat/>
    <w:uiPriority w:val="0"/>
    <w:pPr>
      <w:ind w:left="360" w:hanging="360"/>
      <w:jc w:val="center"/>
    </w:pPr>
    <w:rPr>
      <w:rFonts w:ascii="黑体" w:hAnsi="Times New Roman" w:eastAsia="黑体" w:cs="Times New Roman"/>
      <w:sz w:val="21"/>
      <w:lang w:val="en-US" w:eastAsia="zh-CN" w:bidi="ar-SA"/>
    </w:rPr>
  </w:style>
  <w:style w:type="paragraph" w:customStyle="1" w:styleId="103">
    <w:name w:val="目次、标准名称标题"/>
    <w:basedOn w:val="1"/>
    <w:next w:val="92"/>
    <w:autoRedefine/>
    <w:qFormat/>
    <w:uiPriority w:val="0"/>
    <w:pPr>
      <w:shd w:val="clear" w:color="FFFFFF" w:fill="FFFFFF"/>
      <w:spacing w:before="640" w:after="560" w:line="460" w:lineRule="exact"/>
      <w:jc w:val="center"/>
      <w:outlineLvl w:val="0"/>
    </w:pPr>
    <w:rPr>
      <w:rFonts w:ascii="黑体" w:eastAsia="黑体"/>
      <w:kern w:val="0"/>
      <w:sz w:val="32"/>
      <w:szCs w:val="20"/>
    </w:rPr>
  </w:style>
  <w:style w:type="character" w:customStyle="1" w:styleId="104">
    <w:name w:val="纯文本 Char1"/>
    <w:autoRedefine/>
    <w:qFormat/>
    <w:uiPriority w:val="0"/>
    <w:rPr>
      <w:rFonts w:ascii="宋体" w:hAnsi="Courier New" w:eastAsia="宋体" w:cs="Courier New"/>
      <w:sz w:val="21"/>
      <w:szCs w:val="21"/>
    </w:rPr>
  </w:style>
  <w:style w:type="character" w:customStyle="1" w:styleId="105">
    <w:name w:val="无间隔 Char1"/>
    <w:link w:val="90"/>
    <w:autoRedefine/>
    <w:qFormat/>
    <w:uiPriority w:val="1"/>
    <w:rPr>
      <w:rFonts w:ascii="Times New Roman" w:hAnsi="Times New Roman"/>
      <w:kern w:val="2"/>
      <w:sz w:val="21"/>
      <w:szCs w:val="24"/>
      <w:lang w:bidi="ar-SA"/>
    </w:rPr>
  </w:style>
  <w:style w:type="character" w:customStyle="1" w:styleId="106">
    <w:name w:val="HTML 预设格式 Char"/>
    <w:link w:val="27"/>
    <w:autoRedefine/>
    <w:qFormat/>
    <w:uiPriority w:val="99"/>
    <w:rPr>
      <w:rFonts w:ascii="宋体" w:hAnsi="宋体" w:cs="宋体"/>
      <w:sz w:val="24"/>
      <w:szCs w:val="24"/>
    </w:rPr>
  </w:style>
  <w:style w:type="character" w:customStyle="1" w:styleId="107">
    <w:name w:val="页眉 Char"/>
    <w:autoRedefine/>
    <w:qFormat/>
    <w:uiPriority w:val="99"/>
    <w:rPr>
      <w:lang w:eastAsia="zh-CN"/>
    </w:rPr>
  </w:style>
  <w:style w:type="character" w:customStyle="1" w:styleId="108">
    <w:name w:val="textcontents"/>
    <w:autoRedefine/>
    <w:qFormat/>
    <w:uiPriority w:val="0"/>
    <w:rPr>
      <w:rFonts w:cs="Times New Roman"/>
    </w:rPr>
  </w:style>
  <w:style w:type="character" w:customStyle="1" w:styleId="109">
    <w:name w:val="标题4 Char Char"/>
    <w:link w:val="110"/>
    <w:autoRedefine/>
    <w:qFormat/>
    <w:uiPriority w:val="0"/>
    <w:rPr>
      <w:rFonts w:ascii="Arial" w:hAnsi="Arial"/>
      <w:b/>
      <w:bCs/>
      <w:sz w:val="24"/>
      <w:szCs w:val="32"/>
    </w:rPr>
  </w:style>
  <w:style w:type="paragraph" w:customStyle="1" w:styleId="110">
    <w:name w:val="标题4"/>
    <w:basedOn w:val="3"/>
    <w:next w:val="15"/>
    <w:link w:val="109"/>
    <w:autoRedefine/>
    <w:qFormat/>
    <w:uiPriority w:val="0"/>
    <w:pPr>
      <w:numPr>
        <w:ilvl w:val="0"/>
        <w:numId w:val="0"/>
      </w:numPr>
      <w:tabs>
        <w:tab w:val="clear" w:pos="425"/>
        <w:tab w:val="clear" w:pos="720"/>
      </w:tabs>
      <w:snapToGrid/>
      <w:spacing w:before="260" w:after="260" w:line="413" w:lineRule="auto"/>
    </w:pPr>
    <w:rPr>
      <w:rFonts w:ascii="Arial" w:hAnsi="Arial"/>
      <w:b/>
      <w:bCs/>
      <w:kern w:val="0"/>
      <w:sz w:val="24"/>
      <w:szCs w:val="32"/>
    </w:rPr>
  </w:style>
  <w:style w:type="character" w:customStyle="1" w:styleId="111">
    <w:name w:val="tabg"/>
    <w:autoRedefine/>
    <w:qFormat/>
    <w:uiPriority w:val="0"/>
    <w:rPr>
      <w:rFonts w:ascii="微软雅黑" w:hAnsi="微软雅黑" w:eastAsia="微软雅黑" w:cs="微软雅黑"/>
      <w:color w:val="FFFFFF"/>
      <w:sz w:val="27"/>
      <w:szCs w:val="27"/>
    </w:rPr>
  </w:style>
  <w:style w:type="paragraph" w:customStyle="1" w:styleId="112">
    <w:name w:val="xl154"/>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textAlignment w:val="center"/>
    </w:pPr>
    <w:rPr>
      <w:rFonts w:ascii="Arial" w:hAnsi="Arial" w:cs="Arial"/>
      <w:b/>
      <w:bCs/>
      <w:i/>
      <w:iCs/>
      <w:kern w:val="0"/>
      <w:sz w:val="20"/>
      <w:szCs w:val="20"/>
    </w:rPr>
  </w:style>
  <w:style w:type="paragraph" w:customStyle="1" w:styleId="113">
    <w:name w:val="表内文字  居左"/>
    <w:basedOn w:val="1"/>
    <w:autoRedefine/>
    <w:qFormat/>
    <w:uiPriority w:val="0"/>
    <w:rPr>
      <w:snapToGrid w:val="0"/>
      <w:szCs w:val="20"/>
    </w:rPr>
  </w:style>
  <w:style w:type="paragraph" w:customStyle="1" w:styleId="114">
    <w:name w:val="_Style 32"/>
    <w:autoRedefine/>
    <w:qFormat/>
    <w:uiPriority w:val="1"/>
    <w:pPr>
      <w:widowControl w:val="0"/>
      <w:jc w:val="both"/>
    </w:pPr>
    <w:rPr>
      <w:rFonts w:ascii="Calibri" w:hAnsi="Calibri" w:eastAsia="微软雅黑" w:cs="Times New Roman"/>
      <w:kern w:val="2"/>
      <w:sz w:val="21"/>
      <w:szCs w:val="24"/>
      <w:lang w:val="en-US" w:eastAsia="zh-CN" w:bidi="ar-SA"/>
    </w:rPr>
  </w:style>
  <w:style w:type="character" w:customStyle="1" w:styleId="115">
    <w:name w:val="正文缩进 Char"/>
    <w:link w:val="9"/>
    <w:autoRedefine/>
    <w:qFormat/>
    <w:uiPriority w:val="0"/>
    <w:rPr>
      <w:kern w:val="2"/>
      <w:sz w:val="21"/>
      <w:szCs w:val="24"/>
    </w:rPr>
  </w:style>
  <w:style w:type="character" w:customStyle="1" w:styleId="116">
    <w:name w:val="font41"/>
    <w:autoRedefine/>
    <w:qFormat/>
    <w:uiPriority w:val="0"/>
    <w:rPr>
      <w:rFonts w:hint="default" w:ascii="GE Inspira Pitch" w:hAnsi="GE Inspira Pitch" w:eastAsia="GE Inspira Pitch" w:cs="GE Inspira Pitch"/>
      <w:color w:val="FF0000"/>
      <w:sz w:val="22"/>
      <w:szCs w:val="22"/>
      <w:u w:val="none"/>
    </w:rPr>
  </w:style>
  <w:style w:type="character" w:customStyle="1" w:styleId="117">
    <w:name w:val="日期 Char1"/>
    <w:autoRedefine/>
    <w:semiHidden/>
    <w:qFormat/>
    <w:uiPriority w:val="99"/>
    <w:rPr>
      <w:kern w:val="2"/>
      <w:sz w:val="21"/>
      <w:szCs w:val="24"/>
    </w:rPr>
  </w:style>
  <w:style w:type="character" w:customStyle="1" w:styleId="118">
    <w:name w:val="font21"/>
    <w:autoRedefine/>
    <w:qFormat/>
    <w:uiPriority w:val="0"/>
    <w:rPr>
      <w:rFonts w:hint="default" w:ascii="GE Inspira Pitch" w:hAnsi="GE Inspira Pitch" w:eastAsia="GE Inspira Pitch" w:cs="GE Inspira Pitch"/>
      <w:b/>
      <w:color w:val="000000"/>
      <w:sz w:val="22"/>
      <w:szCs w:val="22"/>
      <w:u w:val="none"/>
    </w:rPr>
  </w:style>
  <w:style w:type="character" w:customStyle="1" w:styleId="119">
    <w:name w:val="font01"/>
    <w:autoRedefine/>
    <w:qFormat/>
    <w:uiPriority w:val="0"/>
    <w:rPr>
      <w:rFonts w:hint="eastAsia" w:ascii="宋体" w:hAnsi="宋体" w:eastAsia="宋体" w:cs="宋体"/>
      <w:color w:val="000000"/>
      <w:sz w:val="22"/>
      <w:szCs w:val="22"/>
      <w:u w:val="none"/>
    </w:rPr>
  </w:style>
  <w:style w:type="character" w:customStyle="1" w:styleId="120">
    <w:name w:val="font61"/>
    <w:autoRedefine/>
    <w:qFormat/>
    <w:uiPriority w:val="0"/>
    <w:rPr>
      <w:rFonts w:hint="default" w:ascii="GE Inspira Pitch" w:hAnsi="GE Inspira Pitch" w:eastAsia="GE Inspira Pitch" w:cs="GE Inspira Pitch"/>
      <w:color w:val="000000"/>
      <w:sz w:val="22"/>
      <w:szCs w:val="22"/>
      <w:u w:val="none"/>
    </w:rPr>
  </w:style>
  <w:style w:type="character" w:customStyle="1" w:styleId="121">
    <w:name w:val="font71"/>
    <w:autoRedefine/>
    <w:qFormat/>
    <w:uiPriority w:val="0"/>
    <w:rPr>
      <w:rFonts w:hint="default" w:ascii="幼圆" w:hAnsi="幼圆" w:eastAsia="幼圆" w:cs="幼圆"/>
      <w:color w:val="000000"/>
      <w:sz w:val="22"/>
      <w:szCs w:val="22"/>
      <w:u w:val="none"/>
    </w:rPr>
  </w:style>
  <w:style w:type="character" w:customStyle="1" w:styleId="122">
    <w:name w:val="列出段落 Char"/>
    <w:link w:val="88"/>
    <w:autoRedefine/>
    <w:qFormat/>
    <w:uiPriority w:val="34"/>
    <w:rPr>
      <w:kern w:val="2"/>
      <w:sz w:val="21"/>
      <w:szCs w:val="24"/>
    </w:rPr>
  </w:style>
  <w:style w:type="character" w:customStyle="1" w:styleId="123">
    <w:name w:val="font51"/>
    <w:autoRedefine/>
    <w:qFormat/>
    <w:uiPriority w:val="0"/>
    <w:rPr>
      <w:rFonts w:hint="default" w:ascii="幼圆" w:hAnsi="幼圆" w:eastAsia="幼圆" w:cs="幼圆"/>
      <w:color w:val="FF0000"/>
      <w:sz w:val="22"/>
      <w:szCs w:val="22"/>
      <w:u w:val="none"/>
    </w:rPr>
  </w:style>
  <w:style w:type="character" w:customStyle="1" w:styleId="124">
    <w:name w:val="font101"/>
    <w:autoRedefine/>
    <w:qFormat/>
    <w:uiPriority w:val="0"/>
    <w:rPr>
      <w:rFonts w:hint="default" w:ascii="GE Inspira Pitch" w:hAnsi="GE Inspira Pitch" w:eastAsia="GE Inspira Pitch" w:cs="GE Inspira Pitch"/>
      <w:color w:val="0000FF"/>
      <w:sz w:val="22"/>
      <w:szCs w:val="22"/>
      <w:u w:val="none"/>
    </w:rPr>
  </w:style>
  <w:style w:type="character" w:customStyle="1" w:styleId="125">
    <w:name w:val="font91"/>
    <w:autoRedefine/>
    <w:qFormat/>
    <w:uiPriority w:val="0"/>
    <w:rPr>
      <w:rFonts w:hint="default" w:ascii="幼圆" w:hAnsi="幼圆" w:eastAsia="幼圆" w:cs="幼圆"/>
      <w:b/>
      <w:color w:val="000000"/>
      <w:sz w:val="32"/>
      <w:szCs w:val="32"/>
      <w:u w:val="none"/>
    </w:rPr>
  </w:style>
  <w:style w:type="character" w:customStyle="1" w:styleId="126">
    <w:name w:val="font11"/>
    <w:autoRedefine/>
    <w:qFormat/>
    <w:uiPriority w:val="0"/>
    <w:rPr>
      <w:rFonts w:hint="eastAsia" w:ascii="宋体" w:hAnsi="宋体" w:eastAsia="宋体" w:cs="宋体"/>
      <w:color w:val="333333"/>
      <w:sz w:val="13"/>
      <w:szCs w:val="13"/>
      <w:u w:val="none"/>
    </w:rPr>
  </w:style>
  <w:style w:type="character" w:customStyle="1" w:styleId="127">
    <w:name w:val="font31"/>
    <w:autoRedefine/>
    <w:qFormat/>
    <w:uiPriority w:val="0"/>
    <w:rPr>
      <w:rFonts w:ascii="幼圆" w:hAnsi="幼圆" w:eastAsia="幼圆" w:cs="幼圆"/>
      <w:b/>
      <w:color w:val="000000"/>
      <w:sz w:val="22"/>
      <w:szCs w:val="22"/>
      <w:u w:val="none"/>
    </w:rPr>
  </w:style>
  <w:style w:type="paragraph" w:customStyle="1" w:styleId="128">
    <w:name w:val="新正文"/>
    <w:basedOn w:val="1"/>
    <w:autoRedefine/>
    <w:qFormat/>
    <w:uiPriority w:val="0"/>
    <w:pPr>
      <w:spacing w:line="440" w:lineRule="exact"/>
    </w:pPr>
    <w:rPr>
      <w:rFonts w:hAnsi="宋体" w:cs="Arial"/>
      <w:sz w:val="28"/>
      <w:szCs w:val="28"/>
    </w:rPr>
  </w:style>
  <w:style w:type="paragraph" w:customStyle="1" w:styleId="129">
    <w:name w:val="Char"/>
    <w:basedOn w:val="1"/>
    <w:autoRedefine/>
    <w:qFormat/>
    <w:uiPriority w:val="0"/>
  </w:style>
  <w:style w:type="paragraph" w:customStyle="1" w:styleId="130">
    <w:name w:val="List Paragraph1"/>
    <w:basedOn w:val="1"/>
    <w:autoRedefine/>
    <w:qFormat/>
    <w:uiPriority w:val="0"/>
    <w:pPr>
      <w:ind w:firstLine="420" w:firstLineChars="200"/>
    </w:pPr>
    <w:rPr>
      <w:szCs w:val="20"/>
    </w:rPr>
  </w:style>
  <w:style w:type="paragraph" w:customStyle="1" w:styleId="131">
    <w:name w:val="Free Form"/>
    <w:autoRedefine/>
    <w:qFormat/>
    <w:uiPriority w:val="0"/>
    <w:rPr>
      <w:rFonts w:ascii="Helvetica" w:hAnsi="Helvetica" w:eastAsia="ヒラギノ角ゴ Pro W3" w:cs="Times New Roman"/>
      <w:color w:val="000000"/>
      <w:sz w:val="24"/>
      <w:lang w:val="en-US" w:eastAsia="en-US" w:bidi="ar-SA"/>
    </w:rPr>
  </w:style>
  <w:style w:type="paragraph" w:customStyle="1" w:styleId="132">
    <w:name w:val="Char Char"/>
    <w:basedOn w:val="1"/>
    <w:autoRedefine/>
    <w:qFormat/>
    <w:uiPriority w:val="0"/>
    <w:pPr>
      <w:spacing w:after="160" w:line="240" w:lineRule="exact"/>
    </w:pPr>
  </w:style>
  <w:style w:type="paragraph" w:customStyle="1" w:styleId="133">
    <w:name w:val="Body"/>
    <w:autoRedefine/>
    <w:qFormat/>
    <w:uiPriority w:val="0"/>
    <w:rPr>
      <w:rFonts w:ascii="Helvetica" w:hAnsi="Helvetica" w:eastAsia="ヒラギノ角ゴ Pro W3" w:cs="Times New Roman"/>
      <w:color w:val="000000"/>
      <w:sz w:val="24"/>
      <w:lang w:val="en-US" w:eastAsia="en-US" w:bidi="ar-SA"/>
    </w:rPr>
  </w:style>
  <w:style w:type="character" w:customStyle="1" w:styleId="134">
    <w:name w:val="apple-converted-space"/>
    <w:autoRedefine/>
    <w:qFormat/>
    <w:uiPriority w:val="0"/>
  </w:style>
  <w:style w:type="paragraph" w:customStyle="1" w:styleId="135">
    <w:name w:val="Body text|1"/>
    <w:basedOn w:val="1"/>
    <w:autoRedefine/>
    <w:qFormat/>
    <w:uiPriority w:val="0"/>
    <w:pPr>
      <w:widowControl w:val="0"/>
      <w:spacing w:line="406" w:lineRule="auto"/>
      <w:jc w:val="both"/>
    </w:pPr>
    <w:rPr>
      <w:rFonts w:ascii="宋体" w:hAnsi="宋体" w:cs="宋体"/>
      <w:sz w:val="16"/>
      <w:szCs w:val="16"/>
      <w:lang w:val="zh-TW" w:eastAsia="zh-TW" w:bidi="zh-TW"/>
    </w:rPr>
  </w:style>
  <w:style w:type="paragraph" w:customStyle="1" w:styleId="136">
    <w:name w:val="Other|1"/>
    <w:basedOn w:val="1"/>
    <w:autoRedefine/>
    <w:qFormat/>
    <w:uiPriority w:val="0"/>
    <w:pPr>
      <w:widowControl w:val="0"/>
      <w:jc w:val="both"/>
    </w:pPr>
    <w:rPr>
      <w:rFonts w:asciiTheme="minorHAnsi" w:hAnsiTheme="minorHAnsi" w:eastAsiaTheme="minorEastAsia" w:cstheme="minorBidi"/>
      <w:sz w:val="17"/>
      <w:szCs w:val="17"/>
    </w:rPr>
  </w:style>
  <w:style w:type="paragraph" w:customStyle="1" w:styleId="137">
    <w:name w:val="Body text|2"/>
    <w:basedOn w:val="1"/>
    <w:autoRedefine/>
    <w:qFormat/>
    <w:uiPriority w:val="0"/>
    <w:pPr>
      <w:widowControl w:val="0"/>
      <w:spacing w:after="180"/>
      <w:jc w:val="both"/>
    </w:pPr>
    <w:rPr>
      <w:rFonts w:asciiTheme="minorHAnsi" w:hAnsiTheme="minorHAnsi" w:eastAsiaTheme="minorEastAsia" w:cstheme="minorBidi"/>
      <w:sz w:val="17"/>
      <w:szCs w:val="17"/>
    </w:rPr>
  </w:style>
  <w:style w:type="table" w:customStyle="1" w:styleId="138">
    <w:name w:val="网格型1"/>
    <w:basedOn w:val="33"/>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9">
    <w:name w:val="Table Paragraph"/>
    <w:basedOn w:val="1"/>
    <w:autoRedefine/>
    <w:qFormat/>
    <w:uiPriority w:val="1"/>
    <w:rPr>
      <w:rFonts w:ascii="宋体" w:hAnsi="宋体" w:eastAsia="宋体" w:cs="宋体"/>
      <w:lang w:val="zh-CN" w:eastAsia="zh-CN" w:bidi="zh-CN"/>
    </w:rPr>
  </w:style>
  <w:style w:type="paragraph" w:customStyle="1" w:styleId="140">
    <w:name w:val="正文缩进1"/>
    <w:basedOn w:val="1"/>
    <w:autoRedefine/>
    <w:qFormat/>
    <w:uiPriority w:val="0"/>
    <w:pPr>
      <w:ind w:firstLine="584"/>
    </w:pPr>
    <w:rPr>
      <w:sz w:val="28"/>
      <w:szCs w:val="28"/>
    </w:rPr>
  </w:style>
  <w:style w:type="character" w:customStyle="1" w:styleId="141">
    <w:name w:val="font112"/>
    <w:basedOn w:val="35"/>
    <w:autoRedefine/>
    <w:qFormat/>
    <w:uiPriority w:val="0"/>
    <w:rPr>
      <w:rFonts w:ascii="仿宋_GB2312" w:eastAsia="仿宋_GB2312" w:cs="仿宋_GB2312"/>
      <w:color w:val="000000"/>
      <w:sz w:val="40"/>
      <w:szCs w:val="40"/>
      <w:u w:val="none"/>
    </w:rPr>
  </w:style>
  <w:style w:type="character" w:customStyle="1" w:styleId="142">
    <w:name w:val="font121"/>
    <w:basedOn w:val="35"/>
    <w:autoRedefine/>
    <w:qFormat/>
    <w:uiPriority w:val="0"/>
    <w:rPr>
      <w:rFonts w:hint="eastAsia" w:ascii="仿宋" w:hAnsi="仿宋" w:eastAsia="仿宋" w:cs="仿宋"/>
      <w:color w:val="000000"/>
      <w:sz w:val="44"/>
      <w:szCs w:val="44"/>
      <w:u w:val="none"/>
      <w:vertAlign w:val="superscript"/>
    </w:rPr>
  </w:style>
  <w:style w:type="character" w:customStyle="1" w:styleId="143">
    <w:name w:val="font131"/>
    <w:basedOn w:val="35"/>
    <w:autoRedefine/>
    <w:qFormat/>
    <w:uiPriority w:val="0"/>
    <w:rPr>
      <w:rFonts w:hint="eastAsia" w:ascii="宋体" w:hAnsi="宋体" w:eastAsia="宋体" w:cs="宋体"/>
      <w:color w:val="000000"/>
      <w:sz w:val="32"/>
      <w:szCs w:val="32"/>
      <w:u w:val="none"/>
    </w:rPr>
  </w:style>
  <w:style w:type="character" w:customStyle="1" w:styleId="144">
    <w:name w:val="font141"/>
    <w:basedOn w:val="35"/>
    <w:autoRedefine/>
    <w:qFormat/>
    <w:uiPriority w:val="0"/>
    <w:rPr>
      <w:rFonts w:hint="eastAsia" w:ascii="宋体" w:hAnsi="宋体" w:eastAsia="宋体" w:cs="宋体"/>
      <w:color w:val="000000"/>
      <w:sz w:val="32"/>
      <w:szCs w:val="32"/>
      <w:u w:val="none"/>
      <w:vertAlign w:val="superscript"/>
    </w:rPr>
  </w:style>
  <w:style w:type="character" w:customStyle="1" w:styleId="145">
    <w:name w:val="font151"/>
    <w:basedOn w:val="35"/>
    <w:autoRedefine/>
    <w:qFormat/>
    <w:uiPriority w:val="0"/>
    <w:rPr>
      <w:rFonts w:hint="eastAsia" w:ascii="宋体" w:hAnsi="宋体" w:eastAsia="宋体" w:cs="宋体"/>
      <w:color w:val="000000"/>
      <w:sz w:val="36"/>
      <w:szCs w:val="36"/>
      <w:u w:val="none"/>
    </w:rPr>
  </w:style>
  <w:style w:type="character" w:customStyle="1" w:styleId="146">
    <w:name w:val="font161"/>
    <w:basedOn w:val="35"/>
    <w:autoRedefine/>
    <w:qFormat/>
    <w:uiPriority w:val="0"/>
    <w:rPr>
      <w:rFonts w:hint="eastAsia" w:ascii="仿宋" w:hAnsi="仿宋" w:eastAsia="仿宋" w:cs="仿宋"/>
      <w:color w:val="000000"/>
      <w:sz w:val="36"/>
      <w:szCs w:val="36"/>
      <w:u w:val="none"/>
    </w:rPr>
  </w:style>
  <w:style w:type="character" w:customStyle="1" w:styleId="147">
    <w:name w:val="font171"/>
    <w:basedOn w:val="35"/>
    <w:autoRedefine/>
    <w:qFormat/>
    <w:uiPriority w:val="0"/>
    <w:rPr>
      <w:rFonts w:hint="default" w:ascii="Times New Roman" w:hAnsi="Times New Roman" w:cs="Times New Roman"/>
      <w:color w:val="000000"/>
      <w:sz w:val="32"/>
      <w:szCs w:val="32"/>
      <w:u w:val="none"/>
      <w:vertAlign w:val="superscript"/>
    </w:rPr>
  </w:style>
  <w:style w:type="table" w:customStyle="1" w:styleId="148">
    <w:name w:val="Table Normal"/>
    <w:autoRedefine/>
    <w:semiHidden/>
    <w:unhideWhenUsed/>
    <w:qFormat/>
    <w:uiPriority w:val="0"/>
    <w:tblPr>
      <w:tblCellMar>
        <w:top w:w="0" w:type="dxa"/>
        <w:left w:w="0" w:type="dxa"/>
        <w:bottom w:w="0" w:type="dxa"/>
        <w:right w:w="0" w:type="dxa"/>
      </w:tblCellMar>
    </w:tblPr>
  </w:style>
  <w:style w:type="paragraph" w:customStyle="1" w:styleId="149">
    <w:name w:val="WPSOffice手动目录 1"/>
    <w:autoRedefine/>
    <w:qFormat/>
    <w:uiPriority w:val="0"/>
    <w:pPr>
      <w:ind w:leftChars="0"/>
    </w:pPr>
    <w:rPr>
      <w:rFonts w:ascii="Times New Roman" w:hAnsi="Times New Roman" w:eastAsia="宋体" w:cs="Times New Roman"/>
      <w:sz w:val="20"/>
      <w:szCs w:val="20"/>
    </w:rPr>
  </w:style>
  <w:style w:type="paragraph" w:customStyle="1" w:styleId="15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0DF46-6C44-44CE-8B18-78302B9C6F8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61</Pages>
  <Words>22454</Words>
  <Characters>23603</Characters>
  <Lines>332</Lines>
  <Paragraphs>93</Paragraphs>
  <TotalTime>16</TotalTime>
  <ScaleCrop>false</ScaleCrop>
  <LinksUpToDate>false</LinksUpToDate>
  <CharactersWithSpaces>25294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2022-08-02T06:34:00Z</dcterms:created>
  <dc:creator>李青</dc:creator>
  <cp:lastModifiedBy>初笑</cp:lastModifiedBy>
  <cp:lastPrinted>2020-09-25T06:32:00Z</cp:lastPrinted>
  <dcterms:modified xsi:type="dcterms:W3CDTF">2024-03-12T06:43:39Z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959077C6FAEC4C95B6F39B67A6091C61_13</vt:lpwstr>
  </property>
</Properties>
</file>